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96" w:rsidRPr="00013517" w:rsidRDefault="00697196" w:rsidP="0001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17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697196" w:rsidRPr="00013517" w:rsidRDefault="00697196" w:rsidP="0001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17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697196" w:rsidRPr="00013517" w:rsidRDefault="00697196" w:rsidP="0001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17">
        <w:rPr>
          <w:rFonts w:ascii="Times New Roman" w:hAnsi="Times New Roman" w:cs="Times New Roman"/>
          <w:b/>
          <w:sz w:val="28"/>
          <w:szCs w:val="28"/>
        </w:rPr>
        <w:t>по проекту постановления Администрации</w:t>
      </w:r>
    </w:p>
    <w:p w:rsidR="00697196" w:rsidRPr="00013517" w:rsidRDefault="00697196" w:rsidP="0001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17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9621DB" w:rsidRPr="009621DB" w:rsidRDefault="00697196" w:rsidP="0096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17">
        <w:rPr>
          <w:rFonts w:ascii="Times New Roman" w:hAnsi="Times New Roman" w:cs="Times New Roman"/>
          <w:b/>
          <w:sz w:val="28"/>
          <w:szCs w:val="28"/>
        </w:rPr>
        <w:t>«</w:t>
      </w:r>
      <w:r w:rsidR="009621DB" w:rsidRPr="009621D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в целях </w:t>
      </w:r>
    </w:p>
    <w:p w:rsidR="009621DB" w:rsidRPr="009621DB" w:rsidRDefault="009621DB" w:rsidP="0096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B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(возмещения) затрат, возникающих </w:t>
      </w:r>
    </w:p>
    <w:p w:rsidR="009621DB" w:rsidRPr="009621DB" w:rsidRDefault="009621DB" w:rsidP="0096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B">
        <w:rPr>
          <w:rFonts w:ascii="Times New Roman" w:hAnsi="Times New Roman" w:cs="Times New Roman"/>
          <w:b/>
          <w:sz w:val="28"/>
          <w:szCs w:val="28"/>
        </w:rPr>
        <w:t xml:space="preserve">в связи с розничной реализацией населению лекарственных </w:t>
      </w:r>
    </w:p>
    <w:p w:rsidR="009621DB" w:rsidRPr="009621DB" w:rsidRDefault="009621DB" w:rsidP="0096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B">
        <w:rPr>
          <w:rFonts w:ascii="Times New Roman" w:hAnsi="Times New Roman" w:cs="Times New Roman"/>
          <w:b/>
          <w:sz w:val="28"/>
          <w:szCs w:val="28"/>
        </w:rPr>
        <w:t xml:space="preserve">препаратов, медицинских изделий и детского питания в части затрат </w:t>
      </w:r>
    </w:p>
    <w:p w:rsidR="00697196" w:rsidRPr="00013517" w:rsidRDefault="009621DB" w:rsidP="0096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B">
        <w:rPr>
          <w:rFonts w:ascii="Times New Roman" w:hAnsi="Times New Roman" w:cs="Times New Roman"/>
          <w:b/>
          <w:sz w:val="28"/>
          <w:szCs w:val="28"/>
        </w:rPr>
        <w:t>по доставке в сельские населенные пункты Ненецкого автономного округа»</w:t>
      </w:r>
    </w:p>
    <w:p w:rsidR="00697196" w:rsidRPr="00013517" w:rsidRDefault="00697196" w:rsidP="0001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96" w:rsidRPr="00013517" w:rsidRDefault="00697196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17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013517">
        <w:rPr>
          <w:rFonts w:ascii="Times New Roman" w:hAnsi="Times New Roman" w:cs="Times New Roman"/>
          <w:sz w:val="28"/>
          <w:szCs w:val="28"/>
        </w:rPr>
        <w:t xml:space="preserve"> Департамент здравоохранения, труда и социальной защиты населения Ненецкого автономного округа.</w:t>
      </w:r>
    </w:p>
    <w:p w:rsidR="00697196" w:rsidRPr="00013517" w:rsidRDefault="00697196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17">
        <w:rPr>
          <w:rFonts w:ascii="Times New Roman" w:hAnsi="Times New Roman" w:cs="Times New Roman"/>
          <w:b/>
          <w:sz w:val="28"/>
          <w:szCs w:val="28"/>
        </w:rPr>
        <w:t>Срок размещения уведомления:</w:t>
      </w:r>
      <w:r w:rsidRPr="00013517">
        <w:rPr>
          <w:rFonts w:ascii="Times New Roman" w:hAnsi="Times New Roman" w:cs="Times New Roman"/>
          <w:sz w:val="28"/>
          <w:szCs w:val="28"/>
        </w:rPr>
        <w:t xml:space="preserve"> </w:t>
      </w:r>
      <w:r w:rsidR="001E32B9" w:rsidRPr="001E32B9">
        <w:rPr>
          <w:rFonts w:ascii="Times New Roman" w:hAnsi="Times New Roman" w:cs="Times New Roman"/>
          <w:sz w:val="28"/>
          <w:szCs w:val="28"/>
        </w:rPr>
        <w:t>01.10.2020</w:t>
      </w:r>
      <w:r w:rsidRPr="00013517">
        <w:rPr>
          <w:rFonts w:ascii="Times New Roman" w:hAnsi="Times New Roman" w:cs="Times New Roman"/>
          <w:sz w:val="28"/>
          <w:szCs w:val="28"/>
        </w:rPr>
        <w:t xml:space="preserve"> </w:t>
      </w:r>
      <w:r w:rsidR="00706135" w:rsidRPr="00706135">
        <w:rPr>
          <w:rFonts w:ascii="Times New Roman" w:hAnsi="Times New Roman" w:cs="Times New Roman"/>
          <w:sz w:val="28"/>
          <w:szCs w:val="28"/>
        </w:rPr>
        <w:t>– 28.10</w:t>
      </w:r>
      <w:r w:rsidRPr="00706135">
        <w:rPr>
          <w:rFonts w:ascii="Times New Roman" w:hAnsi="Times New Roman" w:cs="Times New Roman"/>
          <w:sz w:val="28"/>
          <w:szCs w:val="28"/>
        </w:rPr>
        <w:t>.2020.</w:t>
      </w:r>
      <w:r w:rsidR="001E3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196" w:rsidRPr="00013517" w:rsidRDefault="00697196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17">
        <w:rPr>
          <w:rFonts w:ascii="Times New Roman" w:hAnsi="Times New Roman" w:cs="Times New Roman"/>
          <w:b/>
          <w:sz w:val="28"/>
          <w:szCs w:val="28"/>
        </w:rPr>
        <w:t>Ссылка на проект в сети Интернет:</w:t>
      </w:r>
      <w:r w:rsidRPr="0001351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13517">
          <w:rPr>
            <w:rStyle w:val="a4"/>
            <w:rFonts w:ascii="Times New Roman" w:hAnsi="Times New Roman" w:cs="Times New Roman"/>
            <w:sz w:val="28"/>
            <w:szCs w:val="28"/>
          </w:rPr>
          <w:t>http://dfei.adm-nao.ru/orv/</w:t>
        </w:r>
      </w:hyperlink>
    </w:p>
    <w:p w:rsidR="00697196" w:rsidRPr="00013517" w:rsidRDefault="00697196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17">
        <w:rPr>
          <w:rFonts w:ascii="Times New Roman" w:hAnsi="Times New Roman" w:cs="Times New Roman"/>
          <w:b/>
          <w:sz w:val="28"/>
          <w:szCs w:val="28"/>
        </w:rPr>
        <w:t>Общее количество участников:</w:t>
      </w:r>
      <w:r w:rsidR="00706135">
        <w:rPr>
          <w:rFonts w:ascii="Times New Roman" w:hAnsi="Times New Roman" w:cs="Times New Roman"/>
          <w:sz w:val="28"/>
          <w:szCs w:val="28"/>
        </w:rPr>
        <w:t xml:space="preserve"> 9</w:t>
      </w:r>
      <w:r w:rsidRPr="00013517">
        <w:rPr>
          <w:rFonts w:ascii="Times New Roman" w:hAnsi="Times New Roman" w:cs="Times New Roman"/>
          <w:sz w:val="28"/>
          <w:szCs w:val="28"/>
        </w:rPr>
        <w:t>.</w:t>
      </w:r>
    </w:p>
    <w:p w:rsidR="00697196" w:rsidRPr="00013517" w:rsidRDefault="00697196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17">
        <w:rPr>
          <w:rFonts w:ascii="Times New Roman" w:hAnsi="Times New Roman" w:cs="Times New Roman"/>
          <w:b/>
          <w:sz w:val="28"/>
          <w:szCs w:val="28"/>
        </w:rPr>
        <w:t>Извещение было направлено по почте:</w:t>
      </w:r>
    </w:p>
    <w:p w:rsidR="001E32B9" w:rsidRPr="001E32B9" w:rsidRDefault="00013517" w:rsidP="001E32B9">
      <w:pPr>
        <w:spacing w:after="0" w:line="240" w:lineRule="auto"/>
        <w:ind w:left="-41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135">
        <w:rPr>
          <w:rFonts w:ascii="Times New Roman" w:hAnsi="Times New Roman" w:cs="Times New Roman"/>
          <w:sz w:val="28"/>
          <w:szCs w:val="28"/>
        </w:rPr>
        <w:t>1) </w:t>
      </w:r>
      <w:r w:rsidR="001E32B9" w:rsidRPr="001E32B9">
        <w:rPr>
          <w:rFonts w:ascii="Times New Roman" w:hAnsi="Times New Roman" w:cs="Times New Roman"/>
          <w:sz w:val="28"/>
          <w:szCs w:val="28"/>
        </w:rPr>
        <w:t>АО «Центр развития бизнеса Ненецкого автономного округа», письменно и по электронной почте;</w:t>
      </w:r>
    </w:p>
    <w:p w:rsidR="001E32B9" w:rsidRPr="001E32B9" w:rsidRDefault="00706135" w:rsidP="001E32B9">
      <w:pPr>
        <w:spacing w:after="0" w:line="240" w:lineRule="auto"/>
        <w:ind w:left="-41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E32B9" w:rsidRPr="001E32B9">
        <w:rPr>
          <w:rFonts w:ascii="Times New Roman" w:hAnsi="Times New Roman" w:cs="Times New Roman"/>
          <w:sz w:val="28"/>
          <w:szCs w:val="28"/>
        </w:rPr>
        <w:t>ООО «Статус», письменно и по электронной почте;</w:t>
      </w:r>
    </w:p>
    <w:p w:rsidR="001E32B9" w:rsidRPr="001E32B9" w:rsidRDefault="00706135" w:rsidP="001E32B9">
      <w:pPr>
        <w:spacing w:after="0" w:line="240" w:lineRule="auto"/>
        <w:ind w:left="-41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E32B9" w:rsidRPr="001E32B9">
        <w:rPr>
          <w:rFonts w:ascii="Times New Roman" w:hAnsi="Times New Roman" w:cs="Times New Roman"/>
          <w:sz w:val="28"/>
          <w:szCs w:val="28"/>
        </w:rPr>
        <w:t>ООО «МК-Компани», письменно и по электронной почте;</w:t>
      </w:r>
    </w:p>
    <w:p w:rsidR="001E32B9" w:rsidRPr="001E32B9" w:rsidRDefault="00706135" w:rsidP="001E32B9">
      <w:pPr>
        <w:spacing w:after="0" w:line="240" w:lineRule="auto"/>
        <w:ind w:left="-41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E32B9" w:rsidRPr="001E32B9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Ненецком автономном округе, письменно и по электронной почте;</w:t>
      </w:r>
    </w:p>
    <w:p w:rsidR="001E32B9" w:rsidRPr="001E32B9" w:rsidRDefault="00706135" w:rsidP="001E32B9">
      <w:pPr>
        <w:spacing w:after="0" w:line="240" w:lineRule="auto"/>
        <w:ind w:left="-41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ГУП АО «Фармация»</w:t>
      </w:r>
      <w:r w:rsidR="001E32B9" w:rsidRPr="001E32B9">
        <w:rPr>
          <w:rFonts w:ascii="Times New Roman" w:hAnsi="Times New Roman" w:cs="Times New Roman"/>
          <w:sz w:val="28"/>
          <w:szCs w:val="28"/>
        </w:rPr>
        <w:t>, письменно и по электронной почте;</w:t>
      </w:r>
    </w:p>
    <w:p w:rsidR="001E32B9" w:rsidRPr="001E32B9" w:rsidRDefault="00706135" w:rsidP="001E32B9">
      <w:pPr>
        <w:spacing w:after="0" w:line="240" w:lineRule="auto"/>
        <w:ind w:left="-41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1E32B9" w:rsidRPr="001E32B9">
        <w:rPr>
          <w:rFonts w:ascii="Times New Roman" w:hAnsi="Times New Roman" w:cs="Times New Roman"/>
          <w:sz w:val="28"/>
          <w:szCs w:val="28"/>
        </w:rPr>
        <w:t>ООО «Будь здор</w:t>
      </w:r>
      <w:r>
        <w:rPr>
          <w:rFonts w:ascii="Times New Roman" w:hAnsi="Times New Roman" w:cs="Times New Roman"/>
          <w:sz w:val="28"/>
          <w:szCs w:val="28"/>
        </w:rPr>
        <w:t>ов»</w:t>
      </w:r>
      <w:r w:rsidR="001E32B9" w:rsidRPr="001E32B9">
        <w:rPr>
          <w:rFonts w:ascii="Times New Roman" w:hAnsi="Times New Roman" w:cs="Times New Roman"/>
          <w:sz w:val="28"/>
          <w:szCs w:val="28"/>
        </w:rPr>
        <w:t>, письменно и по электронной почте;</w:t>
      </w:r>
    </w:p>
    <w:p w:rsidR="001E32B9" w:rsidRPr="001E32B9" w:rsidRDefault="00706135" w:rsidP="001E32B9">
      <w:pPr>
        <w:spacing w:after="0" w:line="240" w:lineRule="auto"/>
        <w:ind w:left="-41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1E32B9" w:rsidRPr="001E32B9">
        <w:rPr>
          <w:rFonts w:ascii="Times New Roman" w:hAnsi="Times New Roman" w:cs="Times New Roman"/>
          <w:sz w:val="28"/>
          <w:szCs w:val="28"/>
        </w:rPr>
        <w:t>Аптека ИП Ильи</w:t>
      </w:r>
      <w:r>
        <w:rPr>
          <w:rFonts w:ascii="Times New Roman" w:hAnsi="Times New Roman" w:cs="Times New Roman"/>
          <w:sz w:val="28"/>
          <w:szCs w:val="28"/>
        </w:rPr>
        <w:t>ных Н.Ф.</w:t>
      </w:r>
      <w:r w:rsidR="001E32B9" w:rsidRPr="001E32B9">
        <w:rPr>
          <w:rFonts w:ascii="Times New Roman" w:hAnsi="Times New Roman" w:cs="Times New Roman"/>
          <w:sz w:val="28"/>
          <w:szCs w:val="28"/>
        </w:rPr>
        <w:t>, письменно и по электронной почте;</w:t>
      </w:r>
    </w:p>
    <w:p w:rsidR="001E32B9" w:rsidRPr="001E32B9" w:rsidRDefault="00706135" w:rsidP="001E32B9">
      <w:pPr>
        <w:spacing w:after="0" w:line="240" w:lineRule="auto"/>
        <w:ind w:left="-41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1E32B9" w:rsidRPr="001E32B9">
        <w:rPr>
          <w:rFonts w:ascii="Times New Roman" w:hAnsi="Times New Roman" w:cs="Times New Roman"/>
          <w:sz w:val="28"/>
          <w:szCs w:val="28"/>
        </w:rPr>
        <w:t>ООО «Ненецкая фармация», письменно и по электронной почте;</w:t>
      </w:r>
    </w:p>
    <w:p w:rsidR="00697196" w:rsidRPr="00013517" w:rsidRDefault="00706135" w:rsidP="001E32B9">
      <w:pPr>
        <w:spacing w:after="0" w:line="240" w:lineRule="auto"/>
        <w:ind w:left="-41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1E32B9" w:rsidRPr="001E32B9">
        <w:rPr>
          <w:rFonts w:ascii="Times New Roman" w:hAnsi="Times New Roman" w:cs="Times New Roman"/>
          <w:sz w:val="28"/>
          <w:szCs w:val="28"/>
        </w:rPr>
        <w:t>ООО «Формула Здоровья», письменно и по электронной почте.</w:t>
      </w:r>
    </w:p>
    <w:p w:rsidR="00697196" w:rsidRPr="00013517" w:rsidRDefault="00697196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17">
        <w:rPr>
          <w:rFonts w:ascii="Times New Roman" w:hAnsi="Times New Roman" w:cs="Times New Roman"/>
          <w:b/>
          <w:sz w:val="28"/>
          <w:szCs w:val="28"/>
        </w:rPr>
        <w:t>Проведены мероприятия:</w:t>
      </w:r>
      <w:r w:rsidR="00B63B20">
        <w:rPr>
          <w:rFonts w:ascii="Times New Roman" w:hAnsi="Times New Roman" w:cs="Times New Roman"/>
          <w:sz w:val="28"/>
          <w:szCs w:val="28"/>
        </w:rPr>
        <w:t xml:space="preserve"> мероприятия на данном этапе не </w:t>
      </w:r>
      <w:r w:rsidRPr="00013517">
        <w:rPr>
          <w:rFonts w:ascii="Times New Roman" w:hAnsi="Times New Roman" w:cs="Times New Roman"/>
          <w:sz w:val="28"/>
          <w:szCs w:val="28"/>
        </w:rPr>
        <w:t>проводились</w:t>
      </w:r>
    </w:p>
    <w:p w:rsidR="00697196" w:rsidRPr="00013517" w:rsidRDefault="00697196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17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5812"/>
        <w:gridCol w:w="1667"/>
      </w:tblGrid>
      <w:tr w:rsidR="00697196" w:rsidRPr="00706135" w:rsidTr="006307A0">
        <w:tc>
          <w:tcPr>
            <w:tcW w:w="426" w:type="dxa"/>
          </w:tcPr>
          <w:p w:rsidR="00697196" w:rsidRPr="00706135" w:rsidRDefault="00697196" w:rsidP="0001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13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</w:tcPr>
          <w:p w:rsidR="00697196" w:rsidRPr="00706135" w:rsidRDefault="00697196" w:rsidP="0001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135">
              <w:rPr>
                <w:rFonts w:ascii="Times New Roman" w:hAnsi="Times New Roman" w:cs="Times New Roman"/>
                <w:sz w:val="24"/>
                <w:szCs w:val="28"/>
              </w:rPr>
              <w:t>Автор предложения</w:t>
            </w:r>
          </w:p>
        </w:tc>
        <w:tc>
          <w:tcPr>
            <w:tcW w:w="5812" w:type="dxa"/>
          </w:tcPr>
          <w:p w:rsidR="00697196" w:rsidRPr="00706135" w:rsidRDefault="00013517" w:rsidP="0001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135">
              <w:rPr>
                <w:rFonts w:ascii="Times New Roman" w:hAnsi="Times New Roman" w:cs="Times New Roman"/>
                <w:sz w:val="24"/>
                <w:szCs w:val="28"/>
              </w:rPr>
              <w:t>Позиция участника обсуждения</w:t>
            </w:r>
          </w:p>
        </w:tc>
        <w:tc>
          <w:tcPr>
            <w:tcW w:w="1667" w:type="dxa"/>
          </w:tcPr>
          <w:p w:rsidR="00697196" w:rsidRPr="00706135" w:rsidRDefault="00013517" w:rsidP="0001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135">
              <w:rPr>
                <w:rFonts w:ascii="Times New Roman" w:hAnsi="Times New Roman" w:cs="Times New Roman"/>
                <w:sz w:val="24"/>
                <w:szCs w:val="28"/>
              </w:rPr>
              <w:t>Комментарии разработчика</w:t>
            </w:r>
          </w:p>
        </w:tc>
      </w:tr>
      <w:tr w:rsidR="00697196" w:rsidRPr="00706135" w:rsidTr="006307A0">
        <w:tc>
          <w:tcPr>
            <w:tcW w:w="426" w:type="dxa"/>
          </w:tcPr>
          <w:p w:rsidR="00697196" w:rsidRPr="00706135" w:rsidRDefault="00706135" w:rsidP="0001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1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697196" w:rsidRPr="00706135" w:rsidRDefault="00706135" w:rsidP="0001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135">
              <w:rPr>
                <w:rFonts w:ascii="Times New Roman" w:hAnsi="Times New Roman" w:cs="Times New Roman"/>
                <w:sz w:val="24"/>
                <w:szCs w:val="28"/>
              </w:rPr>
              <w:t>Уполномоченный по защите прав предпринимателей в Ненецком автономном округе</w:t>
            </w:r>
          </w:p>
        </w:tc>
        <w:tc>
          <w:tcPr>
            <w:tcW w:w="5812" w:type="dxa"/>
          </w:tcPr>
          <w:p w:rsidR="00706135" w:rsidRPr="006307A0" w:rsidRDefault="00706135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</w:rPr>
              <w:t xml:space="preserve">Подпунктом 5 пункта 4 Порядка в качестве условия предоставления субсидии предусмотрена регистрация заявителя на территории Ненецкого автономного округа. Однако данное требование препятствует в получении субсидии юридическими лицами, осуществляющим свою деятельность в отдаленных сельских населенных пунктах Ненецкого автономного округа будучи зарегистрированными в иных субъектах РФ. Что в свою очередь препятствует достижению главной цели государственной поддержки - обеспечению жителей сельских населенных пунктов лекарственными препаратами медицинскими изделиями и детским питанием по доступным ценам. Кроме того, данная норма </w:t>
            </w:r>
            <w:r w:rsidRPr="006307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нарушает положения Федерального закона от 26.07.2006 № 135-ФЗ «О защите конкуренции», в связи с чем подлежит исключению.</w:t>
            </w:r>
          </w:p>
          <w:p w:rsidR="00706135" w:rsidRPr="006307A0" w:rsidRDefault="00706135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</w:rPr>
              <w:t>Подпунктом 7 пункта 4 Порядка в качестве условия предоставления субсидии предусмотрено наличие договоров комиссии. В то же время согласно пункту 1 Порядка субсидия предоставляется как при наличии договоров комиссии, так и в случае самостоятельной розничной реализации товаров заявителем. В связи с чем, подпункт 7, а также подпункт 5 пункта 14 требует корректировки в части оговорки о том, в каких случаях требуется договор комиссии.</w:t>
            </w:r>
          </w:p>
          <w:p w:rsidR="00706135" w:rsidRPr="006307A0" w:rsidRDefault="00706135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</w:rPr>
              <w:t>Пунктами 9, 16, 17 и 22 Порядка установлены сроки для проверки документов заявителя, принятия решения по ним, подписания соглашения и перечисления субсидии. При этом сроки для каждого отдельного действия установлены достаточно длительные, что в итоге приводит к значительному временному разрыву между датой подачи заявки и датой поступления средств субсидии на счет. Полагаю, что для достижения цели предоставления субсидии необходимо установление более коротких сроков. </w:t>
            </w:r>
          </w:p>
          <w:p w:rsidR="00706135" w:rsidRPr="006307A0" w:rsidRDefault="00706135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</w:rPr>
              <w:t>Пункт 5 Порядка обязывает заявителя соответствовать ряду указанных требований на первое число месяца, предшествующего месяцу, в котором планируется заключить соглашение о предоставлении субсидии. В тоже время с учетом сложности определения конкретной даты заключения соглашения целесообразней установить соответствие заявителя предъявляемым требованиям на дату подачи заявления.</w:t>
            </w:r>
          </w:p>
          <w:p w:rsidR="00706135" w:rsidRPr="006307A0" w:rsidRDefault="00706135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пункту 11 Порядка копии документов заверяются подписью руководителя организации либо индивидуальным предпринимателем, в то же время пунктом 2 установлено право на получение субсидии имеют исключительно юридические лица. В </w:t>
            </w:r>
            <w:proofErr w:type="gramStart"/>
            <w:r w:rsidRPr="006307A0">
              <w:rPr>
                <w:rFonts w:ascii="Times New Roman" w:hAnsi="Times New Roman" w:cs="Times New Roman"/>
                <w:sz w:val="24"/>
                <w:szCs w:val="28"/>
              </w:rPr>
              <w:t>связи</w:t>
            </w:r>
            <w:proofErr w:type="gramEnd"/>
            <w:r w:rsidRPr="006307A0">
              <w:rPr>
                <w:rFonts w:ascii="Times New Roman" w:hAnsi="Times New Roman" w:cs="Times New Roman"/>
                <w:sz w:val="24"/>
                <w:szCs w:val="28"/>
              </w:rPr>
              <w:t xml:space="preserve"> с чем полагаю, что круг лиц, установленный пунктом 11 Порядка является некорректным.</w:t>
            </w:r>
          </w:p>
          <w:p w:rsidR="00706135" w:rsidRPr="006307A0" w:rsidRDefault="00706135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</w:rPr>
              <w:t>Пунктом 19 Порядка предусмотрено предоставление субсидии на возмещение затрат исходя из стоимости транспортировки товаров всеми видами транспорта, за исключением наземного транспорта. Однако учитывая особые климатические условия Крайнего Севера особенно в зимний период, доставка товаров в отдаленные населенные пункты округа бывает возможна исключительно наземным транспортом. В связи с чем, полагаю исключение данного вида транспорта нецелесообразным.</w:t>
            </w:r>
          </w:p>
          <w:p w:rsidR="00697196" w:rsidRPr="006307A0" w:rsidRDefault="00706135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</w:rPr>
              <w:t>Пунктом 25 Порядка установлено предоставление субсидии на финансовое обеспечение затрат (авансирование) в размере не более 30% от лимитов бюджетных обязательств. Однако установление авансирования в таком значительном размере может повлечь ограничение права части заявителей на получение субсидии в связи с исчерпанием лимитов первыми несколькими заявителями. Кроме того, данное положение предоставляет возможность использования денежных средств, полученных в качестве финансового обеспечения затрат заявителями в целях, не предусмотренных Порядком с последующим возвратом в бюджет. В связи с чем, предлагаю предусмотреть предоставление субсидии на финансовое обеспечение затрат (авансирование) в денежном выражении, определив предельную сумму на один объект торговли.</w:t>
            </w:r>
          </w:p>
        </w:tc>
        <w:tc>
          <w:tcPr>
            <w:tcW w:w="1667" w:type="dxa"/>
          </w:tcPr>
          <w:p w:rsidR="00697196" w:rsidRPr="00706135" w:rsidRDefault="00706135" w:rsidP="0001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1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Предложение учтено</w:t>
            </w:r>
          </w:p>
        </w:tc>
      </w:tr>
      <w:tr w:rsidR="00706135" w:rsidRPr="00706135" w:rsidTr="006307A0">
        <w:tc>
          <w:tcPr>
            <w:tcW w:w="426" w:type="dxa"/>
          </w:tcPr>
          <w:p w:rsidR="00706135" w:rsidRPr="00706135" w:rsidRDefault="00706135" w:rsidP="0001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706135" w:rsidRPr="00706135" w:rsidRDefault="00706135" w:rsidP="0001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135">
              <w:rPr>
                <w:rFonts w:ascii="Times New Roman" w:hAnsi="Times New Roman" w:cs="Times New Roman"/>
                <w:sz w:val="24"/>
                <w:szCs w:val="28"/>
              </w:rPr>
              <w:t>ООО «Ненецкая фармация»</w:t>
            </w:r>
          </w:p>
        </w:tc>
        <w:tc>
          <w:tcPr>
            <w:tcW w:w="5812" w:type="dxa"/>
          </w:tcPr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Согласно п. 4 проекта, определяющего категории получателей субсидии, субсидия предоставляется при условии: осуществления заявителем розничной торговли лекарственными препаратами, медицинскими изделиями, детским питанием для реализации населению в сельских населенных пунктах НАО (</w:t>
            </w:r>
            <w:proofErr w:type="spellStart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пп</w:t>
            </w:r>
            <w:proofErr w:type="spellEnd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 1); регистрации заявителя на территории НАО (</w:t>
            </w:r>
            <w:proofErr w:type="spellStart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пп</w:t>
            </w:r>
            <w:proofErr w:type="spellEnd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 5); наличия договоров комиссии (</w:t>
            </w:r>
            <w:proofErr w:type="spellStart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пп</w:t>
            </w:r>
            <w:proofErr w:type="spellEnd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 7).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В связи с этим обращаю внимание на следующее.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Осуществление розничной торговли предполагает, заключение предпринимателем (продавцом) и потребителем (покупателем) договора розничной купли-продажи (ст. 492 ГК РФ).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В свою очередь, договор комиссии является договором, по которому одна сторона (комиссионер) обязуется по поручению другой стороны (комитента) за вознаграждение совершить одну или несколько сделок от своего имени, но за</w:t>
            </w: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br w:type="page"/>
              <w:t>счет комитента (п. 1 ст. 990 ГК РФ). При этом вещи, поступившие к комиссионеру от комитента либо приобретенные комиссионером за счет комитента, являются собственностью комитента (п. 1 ст. 996 ГК РФ),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В проекте постановления не указано, кем должен являться получатель субсидии, заключивший договор комиссии: комитентом (собственником товара) либо комиссионером (лицом, получившим товар на реализацию).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Вместе с тем, поскольку комитент по договору комиссии не может заключать сделки с потребителями (договоры розничной купли-продажи), по определению, т.е. не может являться лицом, осуществляющим розничную торговлю, то заявителем (получателем субсидии), может выступать исключительно комиссионер.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При этом учитывая, что субсидированию подлежат затраты по доставке товара, обязательства комиссионера по договору комиссии должны включать и обязательство доставить товар в соответствующий населенный пункт.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Однако, если в обязательства комиссионера по договору комиссии будет включаться обязательство по доставке товара, то сам договор, заключенный между комитентом и комиссионером (получателем субсидии) перестает быть договором комиссии и неизбежно должен квалифицироваться в качестве договора агентирования, заключенного по модели комиссии (ч. 1 ст. 1005 ГК РФ) либо смешанного договора (п. 3 ст. 421 ГК РФ).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Соответственно, в случае если по замыслу авторов проекта постановления получатель субсидии должен непременно иметь заключенный договор на реализацию не принадлежащего ему товара, то указанный договор необходимо поименовать в постановлении иным образом. При этом проект целесообразно дополнить указанием на то, что в обязательства получателя субсидии (стороны по такому договору) должно включаться обязательство по доставке товара до соответствующего населенного пункта.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Полагаю, однако, что реализация указанной концепции, по существу, будет означать предоставление преимущества субъектам, осуществляющим розничную торговлю товарами, переданными им на реализацию (чужими товарами) перед </w:t>
            </w:r>
            <w:proofErr w:type="gramStart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субъектами</w:t>
            </w:r>
            <w:proofErr w:type="gramEnd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 осуществляющими розничную торговлю теми же самыми товарами, приобретенными ими в собственность (собственными товарами), что сложно признать обоснованным.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На основании изложенного, </w:t>
            </w:r>
            <w:r w:rsidRPr="006307A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предлагаю требование о наличии </w:t>
            </w: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у </w:t>
            </w:r>
            <w:r w:rsidRPr="006307A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заявителя договора комиссии исключить </w:t>
            </w: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либо сделать указанное условие получения субсидии не обязательным, а факультативным.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В случае принятия решения о придании указанному условию факультативного (дополнительного) требования, </w:t>
            </w:r>
            <w:proofErr w:type="spellStart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пп</w:t>
            </w:r>
            <w:proofErr w:type="spellEnd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 7 п. 4 проекта постановления может быть изложен в следующей редакции: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«7) наличие договоров на реализацию товаров, по которым заявитель является лицом, в обязательство которого входит доставка товара до сельского населенного пункта Ненецкого автономного округа (при наличии таких договоров).».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Проект не учитывает ситуации, при которых доставка товаров в отдельные сельские населенные пункты в соответствующие периоды времени (в частности, в зимний период) невозможна иными (кроме наземного) видами транспорта.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Отсутствие экономического стимулирования хозяйствующих субъектов, осуществляющих свою деятельность в таких населенных пунктах, способно негативным образом сказаться на обеспечении их жителей </w:t>
            </w:r>
            <w:proofErr w:type="spellStart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социально</w:t>
            </w: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значимыми</w:t>
            </w:r>
            <w:proofErr w:type="spellEnd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 товарами. Иными словами, имеющийся в проекте пробел способен затруднить достижение цели обсуждаемого нормативного правового акта.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В связи с изложенным предлагаю: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Дополнить пункт 19 проекта постановления абзацем следующего содержания: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«Субсидия на возмещение затрат на доставку товаров наземным транспортом в сельские населенные пункты Ненецкого автономного округа предоставляется в случае, если доставка товаров в сельский населенный пункт Ненецкого автономного округа в соответствующий период иными видами транспорта невозможна.»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Дополнить пункт 20 проекта постановления </w:t>
            </w:r>
            <w:proofErr w:type="spellStart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пп</w:t>
            </w:r>
            <w:proofErr w:type="spellEnd"/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 6 следующего содержания: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«6) справку-обоснование необходимости доставки товаров наземным транспортом (невозможности доставки товаров иными видами транспорта) (предоставляется в случае, если осуществлялась доставка наземным транспортом).».</w:t>
            </w:r>
          </w:p>
          <w:p w:rsidR="006307A0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Проект устанавливает заведомо сложно выполнимые условия для предоставления документов на возмещение затрат за 2019 год.</w:t>
            </w:r>
          </w:p>
          <w:p w:rsidR="00706135" w:rsidRPr="006307A0" w:rsidRDefault="006307A0" w:rsidP="006307A0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Так, согласно проекту, предоставлению документов на возмещение затрат предшествует: (а) обращение заинтересованного лица в Департамент здравоохранения, труда и защиты населения НАО для заключения соглашения, а также принятие Департаментом по данному обращению решения (срок - в течение 10 рабочих дней со дня регистрации обращения (п. 16)), (б) заключение соглашения (срок - в течение 15 рабочих дней со дня принятия решения (п. 17)).</w:t>
            </w:r>
          </w:p>
        </w:tc>
        <w:tc>
          <w:tcPr>
            <w:tcW w:w="1667" w:type="dxa"/>
          </w:tcPr>
          <w:p w:rsidR="00706135" w:rsidRPr="00706135" w:rsidRDefault="006307A0" w:rsidP="0001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7A0">
              <w:rPr>
                <w:rFonts w:ascii="Times New Roman" w:hAnsi="Times New Roman" w:cs="Times New Roman"/>
                <w:sz w:val="24"/>
                <w:szCs w:val="28"/>
              </w:rPr>
              <w:t>Предложение учтено</w:t>
            </w:r>
          </w:p>
        </w:tc>
      </w:tr>
    </w:tbl>
    <w:p w:rsidR="00697196" w:rsidRPr="00013517" w:rsidRDefault="00697196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17" w:rsidRPr="00013517" w:rsidRDefault="00013517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17">
        <w:rPr>
          <w:rFonts w:ascii="Times New Roman" w:hAnsi="Times New Roman" w:cs="Times New Roman"/>
          <w:sz w:val="28"/>
          <w:szCs w:val="28"/>
        </w:rPr>
        <w:t>Колич</w:t>
      </w:r>
      <w:r w:rsidR="00BA2AD5">
        <w:rPr>
          <w:rFonts w:ascii="Times New Roman" w:hAnsi="Times New Roman" w:cs="Times New Roman"/>
          <w:sz w:val="28"/>
          <w:szCs w:val="28"/>
        </w:rPr>
        <w:t>ество поступивших предложений: 2</w:t>
      </w:r>
      <w:r w:rsidRPr="00013517">
        <w:rPr>
          <w:rFonts w:ascii="Times New Roman" w:hAnsi="Times New Roman" w:cs="Times New Roman"/>
          <w:sz w:val="28"/>
          <w:szCs w:val="28"/>
        </w:rPr>
        <w:t>, из них:</w:t>
      </w:r>
    </w:p>
    <w:p w:rsidR="00013517" w:rsidRPr="00013517" w:rsidRDefault="00BA2AD5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учтенных предложений: 2</w:t>
      </w:r>
      <w:r w:rsidR="00013517" w:rsidRPr="000135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3517" w:rsidRPr="00013517" w:rsidRDefault="00013517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1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13517">
        <w:rPr>
          <w:rFonts w:ascii="Times New Roman" w:hAnsi="Times New Roman" w:cs="Times New Roman"/>
          <w:sz w:val="28"/>
          <w:szCs w:val="28"/>
        </w:rPr>
        <w:t>. частично учтенных – 0;</w:t>
      </w:r>
    </w:p>
    <w:p w:rsidR="00013517" w:rsidRPr="00013517" w:rsidRDefault="00013517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13517">
        <w:rPr>
          <w:rFonts w:ascii="Times New Roman" w:hAnsi="Times New Roman" w:cs="Times New Roman"/>
          <w:sz w:val="28"/>
          <w:szCs w:val="28"/>
        </w:rPr>
        <w:t>исло неучтенных предложений – 0.</w:t>
      </w:r>
    </w:p>
    <w:p w:rsidR="00706135" w:rsidRDefault="00706135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35" w:rsidRPr="00013517" w:rsidRDefault="00706135" w:rsidP="0001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35" w:rsidRPr="00706135" w:rsidRDefault="00706135" w:rsidP="0070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3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06135" w:rsidRPr="00706135" w:rsidRDefault="00706135" w:rsidP="0070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35">
        <w:rPr>
          <w:rFonts w:ascii="Times New Roman" w:hAnsi="Times New Roman" w:cs="Times New Roman"/>
          <w:sz w:val="28"/>
          <w:szCs w:val="28"/>
        </w:rPr>
        <w:t>руководителя Департамента</w:t>
      </w:r>
    </w:p>
    <w:p w:rsidR="00706135" w:rsidRPr="00706135" w:rsidRDefault="00706135" w:rsidP="0070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35">
        <w:rPr>
          <w:rFonts w:ascii="Times New Roman" w:hAnsi="Times New Roman" w:cs="Times New Roman"/>
          <w:sz w:val="28"/>
          <w:szCs w:val="28"/>
        </w:rPr>
        <w:t xml:space="preserve">здравоохранения, труда </w:t>
      </w:r>
    </w:p>
    <w:p w:rsidR="00706135" w:rsidRPr="00706135" w:rsidRDefault="00706135" w:rsidP="0070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35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706135" w:rsidRDefault="00706135" w:rsidP="0070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35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6135">
        <w:rPr>
          <w:rFonts w:ascii="Times New Roman" w:hAnsi="Times New Roman" w:cs="Times New Roman"/>
          <w:sz w:val="28"/>
          <w:szCs w:val="28"/>
        </w:rPr>
        <w:t xml:space="preserve">                        В.В. Сойко</w:t>
      </w:r>
    </w:p>
    <w:p w:rsidR="00013517" w:rsidRPr="00013517" w:rsidRDefault="00013517" w:rsidP="0070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3517" w:rsidRPr="00013517" w:rsidSect="00013517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B26"/>
    <w:multiLevelType w:val="multilevel"/>
    <w:tmpl w:val="0556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78"/>
    <w:rsid w:val="00013517"/>
    <w:rsid w:val="000B23DD"/>
    <w:rsid w:val="001206DA"/>
    <w:rsid w:val="001D1A82"/>
    <w:rsid w:val="001E32B9"/>
    <w:rsid w:val="002426BB"/>
    <w:rsid w:val="002D1269"/>
    <w:rsid w:val="0040496F"/>
    <w:rsid w:val="005202D0"/>
    <w:rsid w:val="00572063"/>
    <w:rsid w:val="005D6E3E"/>
    <w:rsid w:val="0061302E"/>
    <w:rsid w:val="006307A0"/>
    <w:rsid w:val="00653552"/>
    <w:rsid w:val="006741D9"/>
    <w:rsid w:val="00690835"/>
    <w:rsid w:val="00691BDA"/>
    <w:rsid w:val="00697196"/>
    <w:rsid w:val="00706135"/>
    <w:rsid w:val="00783478"/>
    <w:rsid w:val="007C4CAB"/>
    <w:rsid w:val="00881945"/>
    <w:rsid w:val="008C249F"/>
    <w:rsid w:val="008F757D"/>
    <w:rsid w:val="0092456A"/>
    <w:rsid w:val="009621DB"/>
    <w:rsid w:val="00A84E9D"/>
    <w:rsid w:val="00B63B20"/>
    <w:rsid w:val="00BA2AD5"/>
    <w:rsid w:val="00C544E8"/>
    <w:rsid w:val="00C5576A"/>
    <w:rsid w:val="00C935E5"/>
    <w:rsid w:val="00CA6850"/>
    <w:rsid w:val="00D446C6"/>
    <w:rsid w:val="00E2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5576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C55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697196"/>
    <w:rPr>
      <w:color w:val="0563C1"/>
      <w:u w:val="single"/>
    </w:rPr>
  </w:style>
  <w:style w:type="table" w:styleId="a5">
    <w:name w:val="Table Grid"/>
    <w:basedOn w:val="a1"/>
    <w:uiPriority w:val="59"/>
    <w:rsid w:val="0069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5576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C55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697196"/>
    <w:rPr>
      <w:color w:val="0563C1"/>
      <w:u w:val="single"/>
    </w:rPr>
  </w:style>
  <w:style w:type="table" w:styleId="a5">
    <w:name w:val="Table Grid"/>
    <w:basedOn w:val="a1"/>
    <w:uiPriority w:val="59"/>
    <w:rsid w:val="0069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fei.adm-nao.ru/or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Юлия Яковлевна</dc:creator>
  <cp:lastModifiedBy>Кармановская Марина Александровна</cp:lastModifiedBy>
  <cp:revision>2</cp:revision>
  <dcterms:created xsi:type="dcterms:W3CDTF">2020-11-11T08:20:00Z</dcterms:created>
  <dcterms:modified xsi:type="dcterms:W3CDTF">2020-11-11T08:20:00Z</dcterms:modified>
</cp:coreProperties>
</file>