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4AF" w:rsidRPr="005934AF" w:rsidRDefault="005934AF" w:rsidP="005934AF">
      <w:pPr>
        <w:pStyle w:val="ConsPlusTitle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5934AF">
        <w:rPr>
          <w:rFonts w:ascii="Times New Roman" w:hAnsi="Times New Roman" w:cs="Times New Roman"/>
          <w:b w:val="0"/>
          <w:sz w:val="26"/>
          <w:szCs w:val="26"/>
        </w:rPr>
        <w:t>Проект №_</w:t>
      </w:r>
      <w:proofErr w:type="gramStart"/>
      <w:r w:rsidRPr="005934AF">
        <w:rPr>
          <w:rFonts w:ascii="Times New Roman" w:hAnsi="Times New Roman" w:cs="Times New Roman"/>
          <w:b w:val="0"/>
          <w:sz w:val="26"/>
          <w:szCs w:val="26"/>
        </w:rPr>
        <w:t>_-</w:t>
      </w:r>
      <w:proofErr w:type="spellStart"/>
      <w:proofErr w:type="gramEnd"/>
      <w:r w:rsidRPr="005934AF">
        <w:rPr>
          <w:rFonts w:ascii="Times New Roman" w:hAnsi="Times New Roman" w:cs="Times New Roman"/>
          <w:b w:val="0"/>
          <w:sz w:val="26"/>
          <w:szCs w:val="26"/>
        </w:rPr>
        <w:t>пр</w:t>
      </w:r>
      <w:proofErr w:type="spellEnd"/>
    </w:p>
    <w:p w:rsidR="005934AF" w:rsidRDefault="005934A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8E4F29" w:rsidRDefault="008E4F2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642C6" w:rsidRPr="002642C6" w:rsidRDefault="005934A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ЗАКОН НЕНЕЦКОГО АВТОНОМНОГО ОКРУГА</w:t>
      </w:r>
    </w:p>
    <w:p w:rsidR="002642C6" w:rsidRPr="002642C6" w:rsidRDefault="002642C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642C6" w:rsidRPr="002642C6" w:rsidRDefault="002642C6" w:rsidP="00C1538F">
      <w:pPr>
        <w:pStyle w:val="ConsPlusTitle"/>
        <w:ind w:left="851" w:right="85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2642C6">
        <w:rPr>
          <w:rFonts w:ascii="Times New Roman" w:hAnsi="Times New Roman" w:cs="Times New Roman"/>
          <w:sz w:val="26"/>
          <w:szCs w:val="26"/>
        </w:rPr>
        <w:t>Об оленеводст</w:t>
      </w:r>
      <w:r>
        <w:rPr>
          <w:rFonts w:ascii="Times New Roman" w:hAnsi="Times New Roman" w:cs="Times New Roman"/>
          <w:sz w:val="26"/>
          <w:szCs w:val="26"/>
        </w:rPr>
        <w:t>ве в Ненецком автономном округе»</w:t>
      </w:r>
    </w:p>
    <w:p w:rsidR="002642C6" w:rsidRDefault="002642C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C01F4" w:rsidRPr="002642C6" w:rsidRDefault="005934AF" w:rsidP="005934AF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Для принятия в первом чтении                                             </w:t>
      </w:r>
      <w:r w:rsidR="004F66B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«__»__________</w:t>
      </w:r>
      <w:r w:rsidR="007F0D8D">
        <w:rPr>
          <w:rFonts w:ascii="Times New Roman" w:hAnsi="Times New Roman" w:cs="Times New Roman"/>
          <w:sz w:val="26"/>
          <w:szCs w:val="26"/>
        </w:rPr>
        <w:t>20__</w:t>
      </w:r>
      <w:r w:rsidR="004F66B2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2642C6" w:rsidRPr="002642C6" w:rsidRDefault="002642C6" w:rsidP="002642C6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2642C6" w:rsidRDefault="002642C6" w:rsidP="002642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C01F4" w:rsidRPr="001C01F4" w:rsidRDefault="007F0D8D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Настоящий З</w:t>
      </w:r>
      <w:r w:rsidR="001C01F4" w:rsidRPr="001C01F4">
        <w:rPr>
          <w:rFonts w:ascii="Times New Roman" w:eastAsia="Calibri" w:hAnsi="Times New Roman" w:cs="Times New Roman"/>
          <w:sz w:val="26"/>
          <w:szCs w:val="26"/>
        </w:rPr>
        <w:t>акон направлен на создание условий для эффективной хозяйственной деятельности в сфере оленеводства и сохранение традиционного образа жизни коренных малочисленных народов Севера и представителей других этнических общностей на территории Ненецкого автономного округа.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Par38"/>
      <w:bookmarkEnd w:id="0"/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1. Основные понятия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7F0D8D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В настоящем З</w:t>
      </w:r>
      <w:r w:rsidR="001C01F4" w:rsidRPr="001C01F4">
        <w:rPr>
          <w:rFonts w:ascii="Times New Roman" w:eastAsia="Calibri" w:hAnsi="Times New Roman" w:cs="Times New Roman"/>
          <w:sz w:val="26"/>
          <w:szCs w:val="26"/>
        </w:rPr>
        <w:t>аконе используются следующие основные понятия: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1) северное оленеводство (далее – оленеводство) – вид традиционной хозяйственной деятельности, направленный на сохранение, разведение и хозяйственное использование домашних северных оленей;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2) домашний северный олень (далее – олень) – одомашненная форма оленя северного, выступающая в качестве репродуктивной основы оленеводства и материальной ценности в виде мяса, субпродуктов, меховой, пантовой, эндокринно-ферментной и другой продукции, а также в виде транспортного средства;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3) оленье стадо – система организации разведения и выпаса оленей, имеющая определенный маршрут и график кочевья, в которой регулируется сочетание различных половозрастных групп оленей в целях их расширенного воспроизводства, а также организуется и проводится необходимая зооветеринарная работа, принимаются меры по рациональному использованию кормовых ресурсов пастбищ;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4) 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>о</w:t>
      </w:r>
      <w:r w:rsidRPr="001C01F4">
        <w:rPr>
          <w:rFonts w:ascii="Times New Roman" w:eastAsia="Calibri" w:hAnsi="Times New Roman" w:cs="Times New Roman"/>
          <w:sz w:val="26"/>
          <w:szCs w:val="26"/>
        </w:rPr>
        <w:t>леньи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C01F4">
        <w:rPr>
          <w:rFonts w:ascii="Times New Roman" w:eastAsia="Calibri" w:hAnsi="Times New Roman" w:cs="Times New Roman"/>
          <w:sz w:val="26"/>
          <w:szCs w:val="26"/>
        </w:rPr>
        <w:t>пастбища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– </w:t>
      </w:r>
      <w:r w:rsidRPr="001C01F4">
        <w:rPr>
          <w:rFonts w:ascii="Times New Roman" w:eastAsia="Calibri" w:hAnsi="Times New Roman" w:cs="Times New Roman"/>
          <w:sz w:val="26"/>
          <w:szCs w:val="26"/>
        </w:rPr>
        <w:t>это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C01F4">
        <w:rPr>
          <w:rFonts w:ascii="Times New Roman" w:eastAsia="Calibri" w:hAnsi="Times New Roman" w:cs="Times New Roman"/>
          <w:sz w:val="26"/>
          <w:szCs w:val="26"/>
        </w:rPr>
        <w:t>земельные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C01F4">
        <w:rPr>
          <w:rFonts w:ascii="Times New Roman" w:eastAsia="Calibri" w:hAnsi="Times New Roman" w:cs="Times New Roman"/>
          <w:sz w:val="26"/>
          <w:szCs w:val="26"/>
        </w:rPr>
        <w:t>участки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</w:t>
      </w:r>
      <w:r w:rsidRPr="001C01F4">
        <w:rPr>
          <w:rFonts w:ascii="Times New Roman" w:eastAsia="Calibri" w:hAnsi="Times New Roman" w:cs="Times New Roman"/>
          <w:sz w:val="26"/>
          <w:szCs w:val="26"/>
        </w:rPr>
        <w:t>расположенные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C01F4">
        <w:rPr>
          <w:rFonts w:ascii="Times New Roman" w:eastAsia="Calibri" w:hAnsi="Times New Roman" w:cs="Times New Roman"/>
          <w:sz w:val="26"/>
          <w:szCs w:val="26"/>
        </w:rPr>
        <w:t>в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C01F4">
        <w:rPr>
          <w:rFonts w:ascii="Times New Roman" w:eastAsia="Calibri" w:hAnsi="Times New Roman" w:cs="Times New Roman"/>
          <w:sz w:val="26"/>
          <w:szCs w:val="26"/>
        </w:rPr>
        <w:t>зоне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C01F4">
        <w:rPr>
          <w:rFonts w:ascii="Times New Roman" w:eastAsia="Calibri" w:hAnsi="Times New Roman" w:cs="Times New Roman"/>
          <w:sz w:val="26"/>
          <w:szCs w:val="26"/>
        </w:rPr>
        <w:t>тундры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</w:t>
      </w:r>
      <w:r w:rsidRPr="001C01F4">
        <w:rPr>
          <w:rFonts w:ascii="Times New Roman" w:eastAsia="Calibri" w:hAnsi="Times New Roman" w:cs="Times New Roman"/>
          <w:sz w:val="26"/>
          <w:szCs w:val="26"/>
        </w:rPr>
        <w:t>лесотундры, северной тайги, растительный покров которых пригоден в качестве корма для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C01F4">
        <w:rPr>
          <w:rFonts w:ascii="Times New Roman" w:eastAsia="Calibri" w:hAnsi="Times New Roman" w:cs="Times New Roman"/>
          <w:sz w:val="26"/>
          <w:szCs w:val="26"/>
        </w:rPr>
        <w:t>северных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C01F4">
        <w:rPr>
          <w:rFonts w:ascii="Times New Roman" w:eastAsia="Calibri" w:hAnsi="Times New Roman" w:cs="Times New Roman"/>
          <w:sz w:val="26"/>
          <w:szCs w:val="26"/>
        </w:rPr>
        <w:t>оленей</w:t>
      </w:r>
      <w:r w:rsidRPr="001C01F4">
        <w:rPr>
          <w:rFonts w:ascii="Times New Roman" w:eastAsia="Calibri" w:hAnsi="Times New Roman" w:cs="Times New Roman"/>
          <w:color w:val="000000"/>
          <w:sz w:val="26"/>
          <w:szCs w:val="26"/>
        </w:rPr>
        <w:t>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5) 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оленеемкость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пастбищ – возможность природного комплекса, являющегося пастбищем, обеспечивать годовой (или сезонный) биологический цикл определенного поголовья оленей без нарушения региональных зоотехнических рекомендаций кормления, содержания, разведения и окарауливания оленей;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6) оленевод – физическое лицо, непосредственно занятое разведением и выпасом оленей, ведущее традиционный (кочевой или полукочевой) образ жизни;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C01F4">
        <w:rPr>
          <w:rFonts w:ascii="Times New Roman" w:eastAsia="Calibri" w:hAnsi="Times New Roman" w:cs="Times New Roman"/>
          <w:sz w:val="26"/>
          <w:szCs w:val="26"/>
        </w:rPr>
        <w:t>7) 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чумработница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чумработник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>) – физическое лицо, не занимающееся непосредственно выпасом оленей, сохраняющее традиционный образ жизни, выполняющее работы по приготовлению пищи, ремонту одежды и обуви, поделке лыж с меховой подкладкой, съему шкур и разделке туш, заготовке топлива и льда, уборке жилых помещений, подготовке мобильного сборно-разборного жилья к передвижению, его установке и другие работы, связанные с обеспечением социального быта оленеводов в местах нахождения</w:t>
      </w:r>
      <w:proofErr w:type="gram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оленьих пастбищ;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C01F4">
        <w:rPr>
          <w:rFonts w:ascii="Times New Roman" w:eastAsia="Calibri" w:hAnsi="Times New Roman" w:cs="Times New Roman"/>
          <w:sz w:val="26"/>
          <w:szCs w:val="26"/>
        </w:rPr>
        <w:lastRenderedPageBreak/>
        <w:t>8) кочевой и (или) полукочевой образ жизни коренных малочисленных народов Севера</w:t>
      </w:r>
      <w:r w:rsidR="008E4F29" w:rsidRPr="008E4F29">
        <w:t xml:space="preserve"> </w:t>
      </w:r>
      <w:r w:rsidR="008E4F29" w:rsidRPr="008E4F29">
        <w:rPr>
          <w:rFonts w:ascii="Times New Roman" w:eastAsia="Calibri" w:hAnsi="Times New Roman" w:cs="Times New Roman"/>
          <w:sz w:val="26"/>
          <w:szCs w:val="26"/>
        </w:rPr>
        <w:t>и представителей других этнических общностей</w:t>
      </w: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– способ жизнеобеспечения малочисленных народов, основанный на осуществлении лицами, относящимися к коренным малочисленным народам Севера</w:t>
      </w:r>
      <w:r w:rsidR="008E4F29" w:rsidRPr="008E4F29">
        <w:t xml:space="preserve"> </w:t>
      </w:r>
      <w:r w:rsidR="008E4F29">
        <w:rPr>
          <w:rFonts w:ascii="Times New Roman" w:eastAsia="Calibri" w:hAnsi="Times New Roman" w:cs="Times New Roman"/>
          <w:sz w:val="26"/>
          <w:szCs w:val="26"/>
        </w:rPr>
        <w:t>и представителям</w:t>
      </w:r>
      <w:r w:rsidR="008E4F29" w:rsidRPr="008E4F29">
        <w:rPr>
          <w:rFonts w:ascii="Times New Roman" w:eastAsia="Calibri" w:hAnsi="Times New Roman" w:cs="Times New Roman"/>
          <w:sz w:val="26"/>
          <w:szCs w:val="26"/>
        </w:rPr>
        <w:t xml:space="preserve"> других этнических общностей</w:t>
      </w:r>
      <w:r w:rsidRPr="001C01F4">
        <w:rPr>
          <w:rFonts w:ascii="Times New Roman" w:eastAsia="Calibri" w:hAnsi="Times New Roman" w:cs="Times New Roman"/>
          <w:sz w:val="26"/>
          <w:szCs w:val="26"/>
        </w:rPr>
        <w:t>, традиционной хозяйственной деятельности и занятии традиционными промыслами (оленеводством, охотой, рыболовством, сбором дикоросов и другими) в местах традиционного проживания и традиционной хозяйственной деятельности малочисленных народов, сопряженный</w:t>
      </w:r>
      <w:proofErr w:type="gram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с перемещением вместе с кочевым жильем и имуществом в течение календарного года и (или) сезона вместе с имуществом по мере убывания кормов, водных биологических и охотничьих ресурсов по местам кочевий оленьих пастбищ;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9) оленеводческое хозяйство – хозяйство различной формы собственности, ведение которого осуществляется физическим или юридическим лицом, в целях ведения оленеводства, и обеспеченное оленьими пастбищами;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10) просчет оленей – комплекс мероприятий по оценке состояния оленьих стад и наличия оленей по половозрастным группам.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11) идентификация оленей – процедура распознавания оленей по индивидуальным отличительным признакам с помощью средств индивидуализации, позволяющая контролировать процесс жизни и миграции оленей;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12) средства индивидуализации – визуальные (клеймение, таврение, биркование), электронные (чипирование):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а) клеймение – нанесение клейм (ушных меток) в виде вырезов (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выщипов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>) различной конфигурации на одном или обоих ушах оленя;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б) таврение – нанесение на кожу оленя определенных знаков (тавро), в том числе с использованием красителей (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татуирование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>) и временных вырезов на шерсти;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в) биркование – фиксация на части тела оленя бирки, на которую нанесена необходимая информ</w:t>
      </w:r>
      <w:r w:rsidR="00A07F13">
        <w:rPr>
          <w:rFonts w:ascii="Times New Roman" w:eastAsia="Calibri" w:hAnsi="Times New Roman" w:cs="Times New Roman"/>
          <w:sz w:val="26"/>
          <w:szCs w:val="26"/>
        </w:rPr>
        <w:t>ация (цифровая, штрих-код и другие</w:t>
      </w:r>
      <w:r w:rsidRPr="001C01F4">
        <w:rPr>
          <w:rFonts w:ascii="Times New Roman" w:eastAsia="Calibri" w:hAnsi="Times New Roman" w:cs="Times New Roman"/>
          <w:sz w:val="26"/>
          <w:szCs w:val="26"/>
        </w:rPr>
        <w:t>);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г) чипирование – мечение с помощью специальных средств электронной идентификации (микрочип).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bookmarkStart w:id="1" w:name="Par64"/>
      <w:bookmarkEnd w:id="1"/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2. Правовое регулирование отношений, связанных с оленеводством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1. Правовое регулирование отношений, связанных с оленеводством, осуществляется в соответствии с Конституцией Российской Федерации, законами и иными нормативными правовыми актами Российской Федерации, Уставом Ненецкого автономного округа, настоящим Законом, другими законами и иными нормативными правовыми актами Ненецкого автономного округа и нормативными правовыми актами органов местного самоуправления.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2. Основными целями правового регулирования отношений и создания условий для обеспечения устойчивого развития оленеводства, являются: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1) государственная поддержка в оленеводстве, направленная на увеличение объемов производства, первичной переработки, реализации продукции и сохранения оленеводства;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2) рациональное использование и сохранение оленьих пастбищ;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lastRenderedPageBreak/>
        <w:t>3) социальная защита оленеводов и членов их семей.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3. Основные цели государственной поддержки оленеводства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Основными целями государственной поддержки в области оленеводства являются: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1)</w:t>
      </w:r>
      <w:r w:rsidRPr="001C01F4">
        <w:rPr>
          <w:rFonts w:ascii="Calibri" w:eastAsia="Calibri" w:hAnsi="Calibri" w:cs="Times New Roman"/>
          <w:sz w:val="26"/>
          <w:szCs w:val="26"/>
        </w:rPr>
        <w:t> </w:t>
      </w:r>
      <w:r w:rsidRPr="001C01F4">
        <w:rPr>
          <w:rFonts w:ascii="Times New Roman" w:eastAsia="Calibri" w:hAnsi="Times New Roman" w:cs="Times New Roman"/>
          <w:sz w:val="26"/>
          <w:szCs w:val="26"/>
        </w:rPr>
        <w:t>формирование эффективно функционирующего рынка продукции оленеводства;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2) создание условий для обеспечения устойчивого развития оленеводства;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3) сохранение среды обитания оленей;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4) привлечение инвестиций в оленеводство;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5) создание условий для привлечения в оленеводство квалифицированных кадров, в том числе молодых специалистов.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4. Основные направления государственной поддержки оленеводства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1. Государственная поддержка оленеводства осуществляется по следующим основным направлениям: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1) развитие оленеводства, в том числе племенного ненецкой породы;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2) развитие производства, первичной переработки и реализации продукции оленеводства;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3) обновление материально-технической базы оленеводческих хозяйств;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4) обеспечение мероприятий по сохранению оленьих пастбищ;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5) организация мероприятий, связанных с улучшением качества поголовья оленей и повышением продуктивности оленеводства;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6) организация предоставления образовательных услуг, связанных с подготовкой и переподготовкой кадров в оленеводстве;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7) развитие системы государственной поддержки страхования рисков при производстве продукции оленеводства;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8) развитие научных исследований в оленеводстве;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9) иные направления государственной поддержки на условиях 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софинансирования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за счет средств федерального бюджета.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2. Государственная поддержка в оленеводстве осуществляется в рамках реализации государственных программ Ненецкого автономного округа.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5. Земельные отношения в оленеводстве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Предоставление оленеводческим хозяйствам земельных участков из земель сельскохозяйственного назначения, занятых оленьими пастбищами (далее – оленьи пастбища), находящихся в собственности Ненецкого автономного округа или муниципальной собственности, или земельных участков, государственная собственность на которые не разграничена, осуществляется в соответствии с законодательством Российской Федерации и законодательством Ненецкого автономного округа.</w:t>
      </w:r>
    </w:p>
    <w:p w:rsidR="00D624AB" w:rsidRDefault="00D624AB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43B91" w:rsidRDefault="00843B91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843B91" w:rsidRDefault="00843B91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Статья 6. </w:t>
      </w:r>
      <w:proofErr w:type="spellStart"/>
      <w:r w:rsidRPr="001C01F4">
        <w:rPr>
          <w:rFonts w:ascii="Times New Roman" w:eastAsia="Calibri" w:hAnsi="Times New Roman" w:cs="Times New Roman"/>
          <w:b/>
          <w:sz w:val="26"/>
          <w:szCs w:val="26"/>
        </w:rPr>
        <w:t>Межсубъектные</w:t>
      </w:r>
      <w:proofErr w:type="spellEnd"/>
      <w:r w:rsidRPr="001C01F4">
        <w:rPr>
          <w:rFonts w:ascii="Times New Roman" w:eastAsia="Calibri" w:hAnsi="Times New Roman" w:cs="Times New Roman"/>
          <w:b/>
          <w:sz w:val="26"/>
          <w:szCs w:val="26"/>
        </w:rPr>
        <w:t xml:space="preserve"> отношения в процессе осуществления деятельности оленеводства</w:t>
      </w:r>
    </w:p>
    <w:p w:rsidR="008E4F29" w:rsidRPr="001C01F4" w:rsidRDefault="008E4F29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1. </w:t>
      </w:r>
      <w:proofErr w:type="gramStart"/>
      <w:r w:rsidRPr="001C01F4">
        <w:rPr>
          <w:rFonts w:ascii="Times New Roman" w:eastAsia="Calibri" w:hAnsi="Times New Roman" w:cs="Times New Roman"/>
          <w:sz w:val="26"/>
          <w:szCs w:val="26"/>
        </w:rPr>
        <w:t>Отношения, связанные с использованием оленеводческими хозяйствами Ненецкого автономного округа земельных участков, расположенных на территориях других субъектов Российской Федерации, регулируются законодательством Российской Федерации, законодательством субъектов Российской Федерации, соглашениями Ненецкого автономного округа с другими субъектами Российской Федерации, договорами оленеводческих хозяйств с землепользователями, арендаторами земельных участков.</w:t>
      </w:r>
      <w:proofErr w:type="gramEnd"/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2. Оленеводческие хозяйства могут осуществлять движение оленей по смежным земельным участкам по согласованию с землепользователями, арендаторами земельных участков в соответствии с гражданским, земельным и лесным законодательством Российской Федерации.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7. Сохранение среды обитания оленей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1. Деятельность, влекущая за собой изменение среды обитания оленей, ухудшение условий их размножения, питания, отдыха и миграции должна осуществляться в соответствии с требованиями законодательства Российской Федерации и Ненецкого автономного округа.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2. Основные требования по предотвращению ухудшения среды обитания и выпаса оленей при осуществлении производственных процессов, при эксплуатации транспортных магистралей, трубопроводов, линий связи и электропередач на территории Ненецкого автономного округа, а также при ином техногенном воздействии устанавливаются законодательством Ненецкого автономного округа.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3. Лица, занимающиеся оленеводством, их уполномоченные представители и представители регионального общественного движения «Ассоциация ненецкого народа «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Ясавэй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>» имеют право выдвигать предложения о проведении общественной экологической и этнологической экспертизы хозяйственной и иной деятельности, затрагивающей интересы оленеводства и участвовать в проведении данных экспертиз.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4. Экологические и иные требования к охране оленьих пастбищ определяются в соответствии с законодательством Российской Федерации и законодательством Ненецкого автономного округа.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5. На землях, занятых оленьими пастбищами, в период отсутствия устойчивого снежного покрова запрещается движение вне отведенных дорог вездеходных транспортных средств на гусеничном и колесном ходу (движителях), грузовых транспортных средств, за исключением случаев, указанных в абзацах втором, третьем настоящей части.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2" w:name="Par277"/>
      <w:bookmarkEnd w:id="2"/>
      <w:r w:rsidRPr="001C01F4">
        <w:rPr>
          <w:rFonts w:ascii="Times New Roman" w:eastAsia="Calibri" w:hAnsi="Times New Roman" w:cs="Times New Roman"/>
          <w:sz w:val="26"/>
          <w:szCs w:val="26"/>
        </w:rPr>
        <w:t>В соотв</w:t>
      </w:r>
      <w:r w:rsidR="005C3643">
        <w:rPr>
          <w:rFonts w:ascii="Times New Roman" w:eastAsia="Calibri" w:hAnsi="Times New Roman" w:cs="Times New Roman"/>
          <w:sz w:val="26"/>
          <w:szCs w:val="26"/>
        </w:rPr>
        <w:t>етствии с порядком, установленны</w:t>
      </w:r>
      <w:r w:rsidRPr="001C01F4">
        <w:rPr>
          <w:rFonts w:ascii="Times New Roman" w:eastAsia="Calibri" w:hAnsi="Times New Roman" w:cs="Times New Roman"/>
          <w:sz w:val="26"/>
          <w:szCs w:val="26"/>
        </w:rPr>
        <w:t>м Администрацией Ненецкого автономного округа, могут выдаваться специальные разрешения.</w:t>
      </w:r>
    </w:p>
    <w:p w:rsidR="00A07F13" w:rsidRDefault="001C01F4" w:rsidP="008E4F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3" w:name="Par278"/>
      <w:bookmarkEnd w:id="3"/>
      <w:r w:rsidRPr="001C01F4">
        <w:rPr>
          <w:rFonts w:ascii="Times New Roman" w:eastAsia="Calibri" w:hAnsi="Times New Roman" w:cs="Times New Roman"/>
          <w:sz w:val="26"/>
          <w:szCs w:val="26"/>
        </w:rPr>
        <w:t>На землях, занятых оленьими пастбищами, в период отсутствия устойчивого снежного покрова разрешается движение вне отведенных дорог вездеходных транспортных средств на гусеничном и колесном ходу (движителях), грузовых транспортных сре</w:t>
      </w:r>
      <w:proofErr w:type="gramStart"/>
      <w:r w:rsidRPr="001C01F4">
        <w:rPr>
          <w:rFonts w:ascii="Times New Roman" w:eastAsia="Calibri" w:hAnsi="Times New Roman" w:cs="Times New Roman"/>
          <w:sz w:val="26"/>
          <w:szCs w:val="26"/>
        </w:rPr>
        <w:t>дств дл</w:t>
      </w:r>
      <w:proofErr w:type="gramEnd"/>
      <w:r w:rsidRPr="001C01F4">
        <w:rPr>
          <w:rFonts w:ascii="Times New Roman" w:eastAsia="Calibri" w:hAnsi="Times New Roman" w:cs="Times New Roman"/>
          <w:sz w:val="26"/>
          <w:szCs w:val="26"/>
        </w:rPr>
        <w:t>я доставки оборудования, личного состава аварийно-спасательных и поисково-спасательных служб в целях проведения аварийно-спасательных и поисково-спасательных работ.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lastRenderedPageBreak/>
        <w:t>Статья 8. Численность поголовья оленей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1. В целях рационального использования природных ресурсов, используемых для ведения оленеводства, сохранения окружающей среды общая численность поголовья оленей, содержащихся на оленьих пастбищах оленеводческого хозяйства, не должна превышать 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оленеемкость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пастбищ.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2. Численность личного поголовья оленей</w:t>
      </w:r>
      <w:r w:rsidRPr="001C01F4">
        <w:rPr>
          <w:rFonts w:ascii="Calibri" w:eastAsia="Calibri" w:hAnsi="Calibri" w:cs="Times New Roman"/>
        </w:rPr>
        <w:t xml:space="preserve"> </w:t>
      </w:r>
      <w:r w:rsidRPr="001C01F4">
        <w:rPr>
          <w:rFonts w:ascii="Times New Roman" w:eastAsia="Calibri" w:hAnsi="Times New Roman" w:cs="Times New Roman"/>
          <w:sz w:val="26"/>
          <w:szCs w:val="26"/>
        </w:rPr>
        <w:t>граждан, не обеспеченных оленьими пастбищами для ведения оленеводства, определяет уполномоченный орган исполнительной власти Ненецкого автономного округа.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3. За превышение численности поголовья оленей над 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оленеемкостью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пастбищ законом Ненецкого автономного округа «Об административных правонарушениях» устанавливается административная ответственность.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9. Специализированный учет поголовья оленей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1. Специализированный учет поголовья оленей осуществляется в целях обеспечения его сохранности посредством просчета оленей.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2. Просчет оленей проводится специальной комиссией, созданной в оленеводческом хозяйстве. В состав специальной комиссии могут входить представители органов исполнительной власти Ненецкого автономного округа и органов местного самоуправления Ненецкого автономного округа.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10.  Идентификация оленей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1. Идентификация оленей осуществляется с помощью средств индивидуализации. 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Выбор и приобретение средств индивидуализации осуществляется оленеводческими хозяйствами.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2. Основными задачами идентификации являются: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1) установление достоверных данных учета поголовья оленей;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2) </w:t>
      </w:r>
      <w:proofErr w:type="gramStart"/>
      <w:r w:rsidRPr="001C01F4">
        <w:rPr>
          <w:rFonts w:ascii="Times New Roman" w:eastAsia="Calibri" w:hAnsi="Times New Roman" w:cs="Times New Roman"/>
          <w:sz w:val="26"/>
          <w:szCs w:val="26"/>
        </w:rPr>
        <w:t>контроль за</w:t>
      </w:r>
      <w:proofErr w:type="gram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передвижением оленей на территории округа;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3) выпуск безопасной в ветеринарно-санитарном отношении продукции оленеводства;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4) формирование базы данных </w:t>
      </w:r>
      <w:proofErr w:type="gramStart"/>
      <w:r w:rsidRPr="001C01F4">
        <w:rPr>
          <w:rFonts w:ascii="Times New Roman" w:eastAsia="Calibri" w:hAnsi="Times New Roman" w:cs="Times New Roman"/>
          <w:sz w:val="26"/>
          <w:szCs w:val="26"/>
        </w:rPr>
        <w:t>о</w:t>
      </w:r>
      <w:proofErr w:type="gram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оленях.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3. Результаты идентификации применяются: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1) при передвижении оленей на территории округа;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2) при убое (выбраковке), гибели (падеже) оленей;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3) при обмене, продаже, передачи и дарении домашних оленей;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4) при страховании оленей;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5) для проведения 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селекционно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-племенных и зооветеринарных работ. </w:t>
      </w:r>
    </w:p>
    <w:p w:rsidR="004F66B2" w:rsidRDefault="004F66B2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bookmarkStart w:id="4" w:name="Par73"/>
      <w:bookmarkStart w:id="5" w:name="Par78"/>
      <w:bookmarkStart w:id="6" w:name="Par83"/>
      <w:bookmarkEnd w:id="4"/>
      <w:bookmarkEnd w:id="5"/>
      <w:bookmarkEnd w:id="6"/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11. Племенная работа в оленеводстве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Племенная работа направлена на сохранение и совершенствование продуктивно-племенных качеств, повышение биологической ценности и продуктивности оленей ненецкой породы.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Племенная работа в оленеводстве осуществляется в соответствии с законодательством Российской Федерации о племенном животноводстве.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Статья 12. Ветеринарные мероприятия в оленеводстве 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Ветеринарные мероприятия оленеводческие хозяйства проводят самостоятельно. В случае отсутствия в оленеводческих хозяйствах соответствующих специалистов ветеринарные мероприятия осуществляются силами государственной ветеринарной службы Ненецкого автономного округа на платной основе, кроме лечения и профилактики болезней, определенных в перечне </w:t>
      </w:r>
      <w:r w:rsidRPr="001C01F4">
        <w:rPr>
          <w:rFonts w:ascii="Times New Roman" w:eastAsia="Calibri" w:hAnsi="Times New Roman" w:cs="Times New Roman"/>
          <w:bCs/>
          <w:iCs/>
          <w:sz w:val="26"/>
          <w:szCs w:val="26"/>
        </w:rPr>
        <w:t>ветеринарных услуг, оказываемых окружными государственными учреждениями ветеринарии за счет средств бюджета Ненецкого автономного округа,</w:t>
      </w:r>
      <w:r w:rsidRPr="001C01F4">
        <w:rPr>
          <w:rFonts w:ascii="Times New Roman" w:eastAsia="Calibri" w:hAnsi="Times New Roman" w:cs="Times New Roman"/>
          <w:b/>
          <w:bCs/>
          <w:iCs/>
          <w:sz w:val="26"/>
          <w:szCs w:val="26"/>
        </w:rPr>
        <w:t xml:space="preserve"> </w:t>
      </w:r>
      <w:r w:rsidRPr="001C01F4">
        <w:rPr>
          <w:rFonts w:ascii="Times New Roman" w:eastAsia="Calibri" w:hAnsi="Times New Roman" w:cs="Times New Roman"/>
          <w:sz w:val="26"/>
          <w:szCs w:val="26"/>
        </w:rPr>
        <w:t>утверждаемом правовым актом Администрации Ненецкого автономного округа.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bookmarkStart w:id="7" w:name="Par88"/>
      <w:bookmarkStart w:id="8" w:name="Par95"/>
      <w:bookmarkStart w:id="9" w:name="Par99"/>
      <w:bookmarkStart w:id="10" w:name="Par109"/>
      <w:bookmarkStart w:id="11" w:name="Par116"/>
      <w:bookmarkStart w:id="12" w:name="Par120"/>
      <w:bookmarkStart w:id="13" w:name="Par134"/>
      <w:bookmarkEnd w:id="7"/>
      <w:bookmarkEnd w:id="8"/>
      <w:bookmarkEnd w:id="9"/>
      <w:bookmarkEnd w:id="10"/>
      <w:bookmarkEnd w:id="11"/>
      <w:bookmarkEnd w:id="12"/>
      <w:bookmarkEnd w:id="13"/>
      <w:r w:rsidRPr="001C01F4">
        <w:rPr>
          <w:rFonts w:ascii="Times New Roman" w:eastAsia="Calibri" w:hAnsi="Times New Roman" w:cs="Times New Roman"/>
          <w:b/>
          <w:sz w:val="26"/>
          <w:szCs w:val="26"/>
        </w:rPr>
        <w:t xml:space="preserve">Статья 13. Подготовка кадров для оленеводства 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Органы исполнительной власти в сфере образования и агропромышленного комплекса Ненецкого автономного округа оказывают содействие гражданам в получении высшего и среднего специального образования для работы в области оленеводства на основании договоров о целевом приеме и целевом обучении в соответствии с Федеральным законом «Об образовании в Российской Федерации».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t xml:space="preserve">Статья 14. Страхование оленей 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Страхование оленей от гибели в результате стихийных бедствий, экологических аварий и катастроф, потравы хищниками, массовыми заболеваниями и страхование других рисков в оленеводстве осуществляется в соответствии с законодательством Российской Федерации.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Порядок и условия страхования оленей устанавливаются в соответствии с законодательством Российской Федерации и Ненецкого автономного округа.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15. Научные исследования в оленеводстве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1. Научные исследования в области оленеводства осуществляются в соответствии с законодательством Российской Федерации и Ненецкого автономного округа.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2. При проведении научных исследований в области оленеводства за счет средств окружного бюджета приоритет отдается научным разработкам: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1) технологий глубокой переработки продукции оленеводства;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2) усовершенствования приемов и методов ведения племенной работы, методов профилактики и лечения болезней оленей;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3) приемов и методов совершенствования систем выпаса оленей; 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4) совершенствования методов эффективного использования пастбищ.</w:t>
      </w:r>
    </w:p>
    <w:p w:rsidR="004F66B2" w:rsidRDefault="004F66B2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bookmarkStart w:id="14" w:name="Par143"/>
      <w:bookmarkStart w:id="15" w:name="Par156"/>
      <w:bookmarkStart w:id="16" w:name="Par188"/>
      <w:bookmarkStart w:id="17" w:name="Par191"/>
      <w:bookmarkEnd w:id="14"/>
      <w:bookmarkEnd w:id="15"/>
      <w:bookmarkEnd w:id="16"/>
      <w:bookmarkEnd w:id="17"/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16. Социальная защита оленеводов, чумработниц и членов их семей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18" w:name="Par195"/>
      <w:bookmarkEnd w:id="18"/>
      <w:r w:rsidRPr="001C01F4">
        <w:rPr>
          <w:rFonts w:ascii="Times New Roman" w:eastAsia="Calibri" w:hAnsi="Times New Roman" w:cs="Times New Roman"/>
          <w:sz w:val="26"/>
          <w:szCs w:val="26"/>
        </w:rPr>
        <w:t>1. Оленеводам и чумработницам, занятым в оленеводческих хозяйствах Ненецкого автономного округа устанавливаются следующие меры социальной поддержки: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1) ежемесячные социальные выплаты;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19" w:name="Par197"/>
      <w:bookmarkEnd w:id="19"/>
      <w:r w:rsidRPr="001C01F4">
        <w:rPr>
          <w:rFonts w:ascii="Times New Roman" w:eastAsia="Calibri" w:hAnsi="Times New Roman" w:cs="Times New Roman"/>
          <w:sz w:val="26"/>
          <w:szCs w:val="26"/>
        </w:rPr>
        <w:lastRenderedPageBreak/>
        <w:t>2) бесплатное предоставление средств гигиены для новорожденного при рождении ребенка;</w:t>
      </w:r>
    </w:p>
    <w:p w:rsidR="001C01F4" w:rsidRPr="001C01F4" w:rsidRDefault="001B21C2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3</w:t>
      </w:r>
      <w:r w:rsidR="001C01F4" w:rsidRPr="001C01F4">
        <w:rPr>
          <w:rFonts w:ascii="Times New Roman" w:eastAsia="Calibri" w:hAnsi="Times New Roman" w:cs="Times New Roman"/>
          <w:sz w:val="26"/>
          <w:szCs w:val="26"/>
        </w:rPr>
        <w:t>) ежегодное бесплатное предоставление средств первой медицинской помощи (медицинские аптечки);</w:t>
      </w:r>
    </w:p>
    <w:p w:rsidR="001C01F4" w:rsidRPr="001C01F4" w:rsidRDefault="001B21C2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1C01F4" w:rsidRPr="001C01F4">
        <w:rPr>
          <w:rFonts w:ascii="Times New Roman" w:eastAsia="Calibri" w:hAnsi="Times New Roman" w:cs="Times New Roman"/>
          <w:sz w:val="26"/>
          <w:szCs w:val="26"/>
        </w:rPr>
        <w:t>) предоставление жилых помещений государственного жилищного фонда Ненецкого автономного округа по договорам социального найма в соответствии с законом Ненецкого автономного округа от 21 апреля 2006 года № 702-оз «О предоставлении жилых помещений государственного жилищного фонда Ненецкого автономного округа по договорам социального найма» при условии занятости лица в оленеводческих хозяйствах не менее 5 лет и нуждаемости в улучшении жилищных условий;</w:t>
      </w:r>
      <w:proofErr w:type="gramEnd"/>
    </w:p>
    <w:p w:rsidR="001C01F4" w:rsidRPr="001C01F4" w:rsidRDefault="001B21C2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5</w:t>
      </w:r>
      <w:r w:rsidR="001C01F4" w:rsidRPr="001C01F4">
        <w:rPr>
          <w:rFonts w:ascii="Times New Roman" w:eastAsia="Calibri" w:hAnsi="Times New Roman" w:cs="Times New Roman"/>
          <w:sz w:val="26"/>
          <w:szCs w:val="26"/>
        </w:rPr>
        <w:t>) ежемесячная компенсационная социальная выплата на каждого ребенка в возрасте от 1,5 лет до 8 лет, совместно проживающего с ними.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1.1. Ежемесячная компенсационная социальная вы</w:t>
      </w:r>
      <w:r w:rsidR="001B21C2">
        <w:rPr>
          <w:rFonts w:ascii="Times New Roman" w:eastAsia="Calibri" w:hAnsi="Times New Roman" w:cs="Times New Roman"/>
          <w:sz w:val="26"/>
          <w:szCs w:val="26"/>
        </w:rPr>
        <w:t>плата, предусмотренная пунктом 5</w:t>
      </w: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части 1 настоящей статьи, предоставляется одному из родителей либо иному законному представителю указанных детей в порядке, установленном Администрацией Ненецкого автономного округа, до достижения детьми возраста 8 лет.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C01F4">
        <w:rPr>
          <w:rFonts w:ascii="Times New Roman" w:eastAsia="Calibri" w:hAnsi="Times New Roman" w:cs="Times New Roman"/>
          <w:sz w:val="26"/>
          <w:szCs w:val="26"/>
        </w:rPr>
        <w:t>Указанная ежемесячная компенсационная социальная выплата не назначается, а выплата назначенной прекращается в случае зачисления ребенка в образовательную организацию, реализующую образовательную программу дошкольного или начального общего образования, либо помещения ребенка на полное государственное обеспечение в государственную (муниципальную) образовательную организацию или в медицинскую организацию государственной (муниципальной) системы здравоохранения, расположенную на территории автономного округа.</w:t>
      </w:r>
      <w:proofErr w:type="gramEnd"/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В случае, предусмотренном абзацем вторым настоящей части, назначенная ежемесячная компенсационная социальная выплата подлежит прекращению с месяца, следующего за месяцем, в котором имели место указанные обстоятельства.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C01F4">
        <w:rPr>
          <w:rFonts w:ascii="Times New Roman" w:eastAsia="Calibri" w:hAnsi="Times New Roman" w:cs="Times New Roman"/>
          <w:sz w:val="26"/>
          <w:szCs w:val="26"/>
        </w:rPr>
        <w:t>Ежемесячная компенсационная социальная выплата не предоставляется вышеуказанным лицам на детей в возрасте от 1,5 до 4 лет в случае получения ими меры социальной поддержки в соответствии с законом Ненецкого автономного округа от 22 марта 2011 года № 10-оз «О ежемесячной компенсационной социальной выплате родителю или иному законному представителю, совместно проживающему и фактически воспитывающему ребенка на дому, и наделении органов местного самоуправления</w:t>
      </w:r>
      <w:proofErr w:type="gram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государственными полномочиями по назначению и выплате ежемесячной компенсационной социальной выплаты».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20" w:name="Par213"/>
      <w:bookmarkEnd w:id="20"/>
      <w:r w:rsidRPr="001C01F4">
        <w:rPr>
          <w:rFonts w:ascii="Times New Roman" w:eastAsia="Calibri" w:hAnsi="Times New Roman" w:cs="Times New Roman"/>
          <w:sz w:val="26"/>
          <w:szCs w:val="26"/>
        </w:rPr>
        <w:t>2. </w:t>
      </w:r>
      <w:proofErr w:type="gramStart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Оленеводам и 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чумработницам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>, достигшим возраста 45 лет – для женщин и 50 лет – для мужчин, которым назначена пенсия по государственному пенсионному обеспечению и которые были заняты в оленеводческих хозяйствах Ненецкого а</w:t>
      </w:r>
      <w:r w:rsidRPr="001C01F4">
        <w:rPr>
          <w:rFonts w:ascii="Times New Roman" w:eastAsia="Times New Roman" w:hAnsi="Times New Roman" w:cs="Times New Roman"/>
          <w:iCs/>
          <w:spacing w:val="15"/>
          <w:sz w:val="26"/>
          <w:szCs w:val="26"/>
        </w:rPr>
        <w:t>в</w:t>
      </w:r>
      <w:r w:rsidRPr="001C01F4">
        <w:rPr>
          <w:rFonts w:ascii="Times New Roman" w:eastAsia="Calibri" w:hAnsi="Times New Roman" w:cs="Times New Roman"/>
          <w:sz w:val="26"/>
          <w:szCs w:val="26"/>
        </w:rPr>
        <w:t>тономного округа, в том числе в общинах</w:t>
      </w:r>
      <w:r w:rsidRPr="001C01F4">
        <w:rPr>
          <w:rFonts w:ascii="Calibri" w:eastAsia="Calibri" w:hAnsi="Calibri" w:cs="Times New Roman"/>
        </w:rPr>
        <w:t xml:space="preserve"> </w:t>
      </w:r>
      <w:r w:rsidRPr="001C01F4">
        <w:rPr>
          <w:rFonts w:ascii="Times New Roman" w:eastAsia="Calibri" w:hAnsi="Times New Roman" w:cs="Times New Roman"/>
          <w:sz w:val="26"/>
          <w:szCs w:val="26"/>
        </w:rPr>
        <w:t>коренных малочисленных народов Севера, не менее 5 лет, не занятым в оленеводческих хозяйствах на момент предоставления предусмотренных настоящей частью мер социальной поддержки, устанавливаются следующие</w:t>
      </w:r>
      <w:proofErr w:type="gram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меры социальной поддержки: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1) предоставление жилых помещений государственного жилищного фонда автономного округа по договорам социального найма в соответствии с законом Ненецкого автономного округа от 21 апреля 2006 года № 702-оз «О предоставлении жилых помещений государственного жилищного фонда Ненецкого </w:t>
      </w:r>
      <w:r w:rsidRPr="001C01F4">
        <w:rPr>
          <w:rFonts w:ascii="Times New Roman" w:eastAsia="Calibri" w:hAnsi="Times New Roman" w:cs="Times New Roman"/>
          <w:sz w:val="26"/>
          <w:szCs w:val="26"/>
        </w:rPr>
        <w:lastRenderedPageBreak/>
        <w:t>автономного округа по договорам социального найма» при условии нуждаемости лица в улучшении жилищных условий;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2) ежегодные единовременные социальные выплаты.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21" w:name="Par216"/>
      <w:bookmarkEnd w:id="21"/>
      <w:r w:rsidRPr="001C01F4">
        <w:rPr>
          <w:rFonts w:ascii="Times New Roman" w:eastAsia="Calibri" w:hAnsi="Times New Roman" w:cs="Times New Roman"/>
          <w:sz w:val="26"/>
          <w:szCs w:val="26"/>
        </w:rPr>
        <w:t>3. Обучающимся в образовательных организациях среднего профессионального образования или высшего образования в возрасте до 30 лет из числа детей лиц, указанных в абзаце первом части 1 настоящей статьи, а также из числа детей лиц, указанных в абзаце первом части 2 настоящей статьи, устанавливаются следующие меры социальной поддержки: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а) ежегодные социальные выплаты на оплату обучения;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б) оплата стоимости проезда к месту учебы и обратно один раз в год в размере фактических затрат;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bookmarkStart w:id="22" w:name="Par220"/>
      <w:bookmarkEnd w:id="22"/>
      <w:r w:rsidRPr="001C01F4">
        <w:rPr>
          <w:rFonts w:ascii="Times New Roman" w:eastAsia="Calibri" w:hAnsi="Times New Roman" w:cs="Times New Roman"/>
          <w:sz w:val="26"/>
          <w:szCs w:val="26"/>
        </w:rPr>
        <w:t>в) ежемесячная выплата стипендии.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Мера социальной поддержки, указанная в подпункте «в» настоящей части, не распространяется на </w:t>
      </w:r>
      <w:proofErr w:type="gramStart"/>
      <w:r w:rsidRPr="001C01F4">
        <w:rPr>
          <w:rFonts w:ascii="Times New Roman" w:eastAsia="Calibri" w:hAnsi="Times New Roman" w:cs="Times New Roman"/>
          <w:sz w:val="26"/>
          <w:szCs w:val="26"/>
        </w:rPr>
        <w:t>обучающихся</w:t>
      </w:r>
      <w:proofErr w:type="gram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по заочной форме обучения.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4. Порядок, условия и размер предоставления мер социальной поддержки, предусмотренных в частях 1, 2, 3 настоящей статьи устанавливаются Администрацией Ненецкого автономного округа.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bookmarkStart w:id="23" w:name="Par225"/>
      <w:bookmarkEnd w:id="23"/>
      <w:r w:rsidRPr="001C01F4">
        <w:rPr>
          <w:rFonts w:ascii="Times New Roman" w:eastAsia="Calibri" w:hAnsi="Times New Roman" w:cs="Times New Roman"/>
          <w:b/>
          <w:sz w:val="26"/>
          <w:szCs w:val="26"/>
        </w:rPr>
        <w:t xml:space="preserve">Статья 17. Обеспечение доступа </w:t>
      </w:r>
      <w:r w:rsidR="005C3643">
        <w:rPr>
          <w:rFonts w:ascii="Times New Roman" w:eastAsia="Calibri" w:hAnsi="Times New Roman" w:cs="Times New Roman"/>
          <w:b/>
          <w:sz w:val="26"/>
          <w:szCs w:val="26"/>
        </w:rPr>
        <w:t xml:space="preserve">студентов из числа </w:t>
      </w:r>
      <w:r w:rsidRPr="001C01F4">
        <w:rPr>
          <w:rFonts w:ascii="Times New Roman" w:eastAsia="Calibri" w:hAnsi="Times New Roman" w:cs="Times New Roman"/>
          <w:b/>
          <w:sz w:val="26"/>
          <w:szCs w:val="26"/>
        </w:rPr>
        <w:t xml:space="preserve">детей оленеводов к образовательным услугам 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В целях обеспечения возможности получения образования организуется вывоз с мест традиционного проживания и традиционной хозяйственной деятельности коренных малочисленных народов Севера </w:t>
      </w:r>
      <w:r w:rsidR="003E4A3D" w:rsidRPr="003E4A3D">
        <w:rPr>
          <w:rFonts w:ascii="Times New Roman" w:eastAsia="Calibri" w:hAnsi="Times New Roman" w:cs="Times New Roman"/>
          <w:sz w:val="26"/>
          <w:szCs w:val="26"/>
        </w:rPr>
        <w:t xml:space="preserve">и представителей других этнических общностей </w:t>
      </w: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к месту учебы и обратно </w:t>
      </w:r>
      <w:r w:rsidR="005C3643">
        <w:rPr>
          <w:rFonts w:ascii="Times New Roman" w:eastAsia="Calibri" w:hAnsi="Times New Roman" w:cs="Times New Roman"/>
          <w:sz w:val="26"/>
          <w:szCs w:val="26"/>
        </w:rPr>
        <w:t xml:space="preserve">студентов из числа </w:t>
      </w:r>
      <w:r w:rsidRPr="001C01F4">
        <w:rPr>
          <w:rFonts w:ascii="Times New Roman" w:eastAsia="Calibri" w:hAnsi="Times New Roman" w:cs="Times New Roman"/>
          <w:sz w:val="26"/>
          <w:szCs w:val="26"/>
        </w:rPr>
        <w:t>детей оленеводов.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Порядок и сроки вывоза детей оленеводов устанавливаются Администрацией Ненецкого автономного округа.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t xml:space="preserve">Статья 18. Медицинское обслуживание лиц, занятых в оленеводстве 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В целях охраны здоровья и ведения здорового образа жизни лица, занятые в оленеводстве (оленевод, 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чумработница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>), получают медицинскую помощь и лекарственное обеспечение в соответствии с законодательством Российской Федерации и законодательством Ненецкого автономного округа.</w:t>
      </w:r>
    </w:p>
    <w:p w:rsid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Медицинское обслуживание лиц, занятых в оленеводстве (оленевод, 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чумработница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>) организуется как по месту их деятельности, в том числе через передвижные медицинские бригады, так и по месту обращения.</w:t>
      </w:r>
      <w:bookmarkStart w:id="24" w:name="Par232"/>
      <w:bookmarkEnd w:id="24"/>
    </w:p>
    <w:p w:rsidR="00843B91" w:rsidRDefault="00843B91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bookmarkStart w:id="25" w:name="_GoBack"/>
      <w:bookmarkEnd w:id="25"/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t xml:space="preserve">Статья 19. Сохранение культуры коренных малочисленных народов Севера и этнических общностей, их культурного и природного наследия 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1.  В целях сохранения и дальнейшего развития самобытной культуры и бережного использования возобновляемых природных ресурсов органы государственной власти Ненецкого автономного округа разрабатывают с участием регионального общественного движения «Ассоциация ненецкого народа «</w:t>
      </w:r>
      <w:proofErr w:type="spellStart"/>
      <w:r w:rsidRPr="001C01F4">
        <w:rPr>
          <w:rFonts w:ascii="Times New Roman" w:eastAsia="Calibri" w:hAnsi="Times New Roman" w:cs="Times New Roman"/>
          <w:sz w:val="26"/>
          <w:szCs w:val="26"/>
        </w:rPr>
        <w:t>Ясавэй</w:t>
      </w:r>
      <w:proofErr w:type="spellEnd"/>
      <w:r w:rsidRPr="001C01F4">
        <w:rPr>
          <w:rFonts w:ascii="Times New Roman" w:eastAsia="Calibri" w:hAnsi="Times New Roman" w:cs="Times New Roman"/>
          <w:sz w:val="26"/>
          <w:szCs w:val="26"/>
        </w:rPr>
        <w:t>» и принимают государственные программы Ненецкого автономного округа.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lastRenderedPageBreak/>
        <w:t>2. Государственные программы предусматривают осуществление следующего комплекса мероприятий: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а) введение в учебную программу, планы внеклассной </w:t>
      </w:r>
      <w:proofErr w:type="gramStart"/>
      <w:r w:rsidRPr="001C01F4">
        <w:rPr>
          <w:rFonts w:ascii="Times New Roman" w:eastAsia="Calibri" w:hAnsi="Times New Roman" w:cs="Times New Roman"/>
          <w:sz w:val="26"/>
          <w:szCs w:val="26"/>
        </w:rPr>
        <w:t>работы учебных заведений округа элементов изучения</w:t>
      </w:r>
      <w:proofErr w:type="gramEnd"/>
      <w:r w:rsidRPr="001C01F4">
        <w:rPr>
          <w:rFonts w:ascii="Times New Roman" w:eastAsia="Calibri" w:hAnsi="Times New Roman" w:cs="Times New Roman"/>
          <w:sz w:val="26"/>
          <w:szCs w:val="26"/>
        </w:rPr>
        <w:t xml:space="preserve"> фольклора, традиций и обычаев коренных малочисленных народов Севера, этнических общностей, отрасли оленеводства;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б) издание учебников, пособий, художественной литературы, создание видео- и кинофильмов, посвященных оленеводству;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в) систематическую организацию окружных выставок по оленеводству и природопользованию;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г) регулярное освещение в окружных средствах массовой информации условий труда и быта оленеводов, а также традиций, обычаев и фольклора коренных малочисленных народов Севера и этнических общностей;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д) организацию проведения окружных ярмарок по реализации изделий продукции оленеводства;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е) иные мероприятия, направленные на сохранение культуры коренных малочисленных народов Севера, этнических общностей, их культурного и природного наследия.</w:t>
      </w:r>
    </w:p>
    <w:p w:rsidR="001C01F4" w:rsidRPr="001C01F4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bookmarkStart w:id="26" w:name="Par302"/>
      <w:bookmarkStart w:id="27" w:name="Par306"/>
      <w:bookmarkStart w:id="28" w:name="Par310"/>
      <w:bookmarkStart w:id="29" w:name="Par319"/>
      <w:bookmarkStart w:id="30" w:name="Par330"/>
      <w:bookmarkStart w:id="31" w:name="Par334"/>
      <w:bookmarkStart w:id="32" w:name="Par336"/>
      <w:bookmarkEnd w:id="26"/>
      <w:bookmarkEnd w:id="27"/>
      <w:bookmarkEnd w:id="28"/>
      <w:bookmarkEnd w:id="29"/>
      <w:bookmarkEnd w:id="30"/>
      <w:bookmarkEnd w:id="31"/>
      <w:bookmarkEnd w:id="32"/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20. Ответственность за нарушение законодательства в области оленеводства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Лица, виновные в нарушении настоящего Закона, несут ответственность, предусмотренную законодательством.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C01F4">
        <w:rPr>
          <w:rFonts w:ascii="Times New Roman" w:eastAsia="Calibri" w:hAnsi="Times New Roman" w:cs="Times New Roman"/>
          <w:b/>
          <w:sz w:val="26"/>
          <w:szCs w:val="26"/>
        </w:rPr>
        <w:t>Статья 21. Вступление настоящего Закона в силу</w:t>
      </w:r>
    </w:p>
    <w:p w:rsidR="001C01F4" w:rsidRPr="001C01F4" w:rsidRDefault="001C01F4" w:rsidP="001C01F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642C6" w:rsidRDefault="001C01F4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C01F4">
        <w:rPr>
          <w:rFonts w:ascii="Times New Roman" w:eastAsia="Calibri" w:hAnsi="Times New Roman" w:cs="Times New Roman"/>
          <w:sz w:val="26"/>
          <w:szCs w:val="26"/>
        </w:rPr>
        <w:t>Настоящий Закон вступает в силу через 10 дней после его официального опубликования.</w:t>
      </w:r>
    </w:p>
    <w:p w:rsidR="007F0D8D" w:rsidRPr="002642C6" w:rsidRDefault="007F0D8D" w:rsidP="001C01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Признать утратившим силу Закон Ненецкого автономного округа от            15 марта 2002 года № 341-оз «Об оленеводстве в Ненецком автономном округе».</w:t>
      </w:r>
    </w:p>
    <w:p w:rsidR="002642C6" w:rsidRDefault="002642C6" w:rsidP="002642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42C6" w:rsidRDefault="002642C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934AF" w:rsidRDefault="005934A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42C6" w:rsidRPr="002642C6" w:rsidRDefault="002642C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2642C6" w:rsidRPr="00C04CFD" w:rsidTr="004F66B2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642C6" w:rsidRPr="004F66B2" w:rsidRDefault="002642C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6B2"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Председатель Собрания депутатов</w:t>
            </w:r>
          </w:p>
          <w:p w:rsidR="002642C6" w:rsidRPr="004F66B2" w:rsidRDefault="002642C6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6B2">
              <w:rPr>
                <w:rFonts w:ascii="Times New Roman" w:hAnsi="Times New Roman" w:cs="Times New Roman"/>
                <w:b/>
                <w:sz w:val="26"/>
                <w:szCs w:val="26"/>
              </w:rPr>
              <w:t>Ненецкого автономного округа</w:t>
            </w:r>
          </w:p>
          <w:p w:rsidR="002642C6" w:rsidRPr="005934AF" w:rsidRDefault="00C04CF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4F66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А.В. </w:t>
            </w:r>
            <w:proofErr w:type="spellStart"/>
            <w:r w:rsidRPr="004F66B2">
              <w:rPr>
                <w:rFonts w:ascii="Times New Roman" w:hAnsi="Times New Roman" w:cs="Times New Roman"/>
                <w:b/>
                <w:sz w:val="26"/>
                <w:szCs w:val="26"/>
              </w:rPr>
              <w:t>Мяндин</w:t>
            </w:r>
            <w:proofErr w:type="spellEnd"/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642C6" w:rsidRPr="004F66B2" w:rsidRDefault="004F66B2" w:rsidP="005934AF">
            <w:pPr>
              <w:pStyle w:val="ConsPlusNormal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="002642C6" w:rsidRPr="004F66B2">
              <w:rPr>
                <w:rFonts w:ascii="Times New Roman" w:hAnsi="Times New Roman" w:cs="Times New Roman"/>
                <w:b/>
                <w:sz w:val="26"/>
                <w:szCs w:val="26"/>
              </w:rPr>
              <w:t>Губернатор</w:t>
            </w:r>
          </w:p>
          <w:p w:rsidR="002642C6" w:rsidRPr="004F66B2" w:rsidRDefault="002642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66B2">
              <w:rPr>
                <w:rFonts w:ascii="Times New Roman" w:hAnsi="Times New Roman" w:cs="Times New Roman"/>
                <w:b/>
                <w:sz w:val="26"/>
                <w:szCs w:val="26"/>
              </w:rPr>
              <w:t>Ненецкого автономного округа</w:t>
            </w:r>
          </w:p>
          <w:p w:rsidR="002642C6" w:rsidRPr="005934AF" w:rsidRDefault="004F66B2" w:rsidP="005934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</w:t>
            </w:r>
            <w:r w:rsidR="00C04CFD" w:rsidRPr="004F66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И.В. </w:t>
            </w:r>
            <w:proofErr w:type="spellStart"/>
            <w:r w:rsidR="00C04CFD" w:rsidRPr="004F66B2">
              <w:rPr>
                <w:rFonts w:ascii="Times New Roman" w:hAnsi="Times New Roman" w:cs="Times New Roman"/>
                <w:b/>
                <w:sz w:val="26"/>
                <w:szCs w:val="26"/>
              </w:rPr>
              <w:t>Кошин</w:t>
            </w:r>
            <w:proofErr w:type="spellEnd"/>
          </w:p>
        </w:tc>
      </w:tr>
    </w:tbl>
    <w:p w:rsidR="004F66B2" w:rsidRDefault="004F66B2" w:rsidP="004F66B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4F66B2" w:rsidRDefault="004F66B2" w:rsidP="004F66B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4F66B2" w:rsidRDefault="004F66B2" w:rsidP="004F66B2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4F66B2" w:rsidRPr="004F66B2" w:rsidRDefault="004F66B2" w:rsidP="004F66B2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F66B2">
        <w:rPr>
          <w:rFonts w:ascii="Times New Roman" w:hAnsi="Times New Roman" w:cs="Times New Roman"/>
          <w:sz w:val="26"/>
          <w:szCs w:val="26"/>
        </w:rPr>
        <w:t>Нарьян-Мар</w:t>
      </w:r>
    </w:p>
    <w:p w:rsidR="004F66B2" w:rsidRPr="004F66B2" w:rsidRDefault="004F66B2" w:rsidP="004F66B2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4F66B2">
        <w:rPr>
          <w:rFonts w:ascii="Times New Roman" w:hAnsi="Times New Roman" w:cs="Times New Roman"/>
          <w:sz w:val="26"/>
          <w:szCs w:val="26"/>
        </w:rPr>
        <w:t>«___» ____________20__года</w:t>
      </w:r>
    </w:p>
    <w:p w:rsidR="00C04CFD" w:rsidRDefault="004F66B2" w:rsidP="004F66B2">
      <w:pPr>
        <w:pStyle w:val="ConsPlusNormal"/>
        <w:rPr>
          <w:rFonts w:ascii="Times New Roman" w:hAnsi="Times New Roman" w:cs="Times New Roman"/>
          <w:sz w:val="26"/>
          <w:szCs w:val="26"/>
          <w:highlight w:val="yellow"/>
        </w:rPr>
      </w:pPr>
      <w:r w:rsidRPr="004F66B2">
        <w:rPr>
          <w:rFonts w:ascii="Times New Roman" w:hAnsi="Times New Roman" w:cs="Times New Roman"/>
          <w:sz w:val="26"/>
          <w:szCs w:val="26"/>
        </w:rPr>
        <w:t>№____-</w:t>
      </w:r>
      <w:proofErr w:type="spellStart"/>
      <w:r w:rsidRPr="004F66B2">
        <w:rPr>
          <w:rFonts w:ascii="Times New Roman" w:hAnsi="Times New Roman" w:cs="Times New Roman"/>
          <w:sz w:val="26"/>
          <w:szCs w:val="26"/>
        </w:rPr>
        <w:t>оз</w:t>
      </w:r>
      <w:proofErr w:type="spellEnd"/>
    </w:p>
    <w:sectPr w:rsidR="00C04CFD" w:rsidSect="00D624AB">
      <w:headerReference w:type="default" r:id="rId8"/>
      <w:pgSz w:w="11906" w:h="16838"/>
      <w:pgMar w:top="1134" w:right="851" w:bottom="102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625" w:rsidRDefault="00AA6625" w:rsidP="005934AF">
      <w:pPr>
        <w:spacing w:after="0" w:line="240" w:lineRule="auto"/>
      </w:pPr>
      <w:r>
        <w:separator/>
      </w:r>
    </w:p>
  </w:endnote>
  <w:endnote w:type="continuationSeparator" w:id="0">
    <w:p w:rsidR="00AA6625" w:rsidRDefault="00AA6625" w:rsidP="0059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625" w:rsidRDefault="00AA6625" w:rsidP="005934AF">
      <w:pPr>
        <w:spacing w:after="0" w:line="240" w:lineRule="auto"/>
      </w:pPr>
      <w:r>
        <w:separator/>
      </w:r>
    </w:p>
  </w:footnote>
  <w:footnote w:type="continuationSeparator" w:id="0">
    <w:p w:rsidR="00AA6625" w:rsidRDefault="00AA6625" w:rsidP="0059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3975298"/>
      <w:docPartObj>
        <w:docPartGallery w:val="Page Numbers (Top of Page)"/>
        <w:docPartUnique/>
      </w:docPartObj>
    </w:sdtPr>
    <w:sdtEndPr/>
    <w:sdtContent>
      <w:p w:rsidR="00D624AB" w:rsidRDefault="00D624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3332">
          <w:rPr>
            <w:noProof/>
          </w:rPr>
          <w:t>5</w:t>
        </w:r>
        <w:r>
          <w:fldChar w:fldCharType="end"/>
        </w:r>
      </w:p>
    </w:sdtContent>
  </w:sdt>
  <w:p w:rsidR="00D624AB" w:rsidRDefault="00D624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2C6"/>
    <w:rsid w:val="000E5470"/>
    <w:rsid w:val="001B21C2"/>
    <w:rsid w:val="001C01F4"/>
    <w:rsid w:val="002642C6"/>
    <w:rsid w:val="003948BA"/>
    <w:rsid w:val="003E4A3D"/>
    <w:rsid w:val="004F66B2"/>
    <w:rsid w:val="00592AB5"/>
    <w:rsid w:val="005934AF"/>
    <w:rsid w:val="005C3643"/>
    <w:rsid w:val="005E31D3"/>
    <w:rsid w:val="005F44FE"/>
    <w:rsid w:val="0062620A"/>
    <w:rsid w:val="00671305"/>
    <w:rsid w:val="006B55D2"/>
    <w:rsid w:val="00715F9A"/>
    <w:rsid w:val="00795036"/>
    <w:rsid w:val="007F0D8D"/>
    <w:rsid w:val="00843B91"/>
    <w:rsid w:val="00884829"/>
    <w:rsid w:val="008E4F29"/>
    <w:rsid w:val="0092638A"/>
    <w:rsid w:val="00963332"/>
    <w:rsid w:val="00A07F13"/>
    <w:rsid w:val="00AA6625"/>
    <w:rsid w:val="00B55153"/>
    <w:rsid w:val="00C04CFD"/>
    <w:rsid w:val="00C1538F"/>
    <w:rsid w:val="00D169B6"/>
    <w:rsid w:val="00D624AB"/>
    <w:rsid w:val="00D7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2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2642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642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9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4AF"/>
  </w:style>
  <w:style w:type="paragraph" w:styleId="a5">
    <w:name w:val="footer"/>
    <w:basedOn w:val="a"/>
    <w:link w:val="a6"/>
    <w:uiPriority w:val="99"/>
    <w:unhideWhenUsed/>
    <w:rsid w:val="0059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34AF"/>
  </w:style>
  <w:style w:type="paragraph" w:styleId="a7">
    <w:name w:val="Balloon Text"/>
    <w:basedOn w:val="a"/>
    <w:link w:val="a8"/>
    <w:uiPriority w:val="99"/>
    <w:semiHidden/>
    <w:unhideWhenUsed/>
    <w:rsid w:val="005C3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2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2642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2642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9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4AF"/>
  </w:style>
  <w:style w:type="paragraph" w:styleId="a5">
    <w:name w:val="footer"/>
    <w:basedOn w:val="a"/>
    <w:link w:val="a6"/>
    <w:uiPriority w:val="99"/>
    <w:unhideWhenUsed/>
    <w:rsid w:val="00593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34AF"/>
  </w:style>
  <w:style w:type="paragraph" w:styleId="a7">
    <w:name w:val="Balloon Text"/>
    <w:basedOn w:val="a"/>
    <w:link w:val="a8"/>
    <w:uiPriority w:val="99"/>
    <w:semiHidden/>
    <w:unhideWhenUsed/>
    <w:rsid w:val="005C3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3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9F2DB-2D72-4886-B18B-351B03F57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3299</Words>
  <Characters>18810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okaneva</dc:creator>
  <cp:lastModifiedBy>Булыгин Юрий Николаевич</cp:lastModifiedBy>
  <cp:revision>3</cp:revision>
  <cp:lastPrinted>2015-09-25T11:28:00Z</cp:lastPrinted>
  <dcterms:created xsi:type="dcterms:W3CDTF">2015-09-25T11:28:00Z</dcterms:created>
  <dcterms:modified xsi:type="dcterms:W3CDTF">2015-09-25T14:12:00Z</dcterms:modified>
</cp:coreProperties>
</file>