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Пояснительная записка</w:t>
      </w:r>
    </w:p>
    <w:p>
      <w:pPr>
        <w:pStyle w:val="Normal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к вопросу, выносимому на заседание</w:t>
      </w:r>
    </w:p>
    <w:p>
      <w:pPr>
        <w:pStyle w:val="Normal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Администрации Ненецкого автономного округа </w:t>
      </w:r>
    </w:p>
    <w:p>
      <w:pPr>
        <w:pStyle w:val="Normal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ConsPlusNormal11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1. Вопрос:</w:t>
      </w:r>
      <w:r>
        <w:rPr>
          <w:rFonts w:ascii="XO Thames" w:hAnsi="XO Thames"/>
          <w:sz w:val="26"/>
        </w:rPr>
        <w:t xml:space="preserve"> о проекте постановления Администрации Ненецкого автономного округа «Об утверждении Порядка </w:t>
      </w:r>
      <w:r>
        <w:rPr>
          <w:rFonts w:ascii="XO Thames" w:hAnsi="XO Thames"/>
          <w:color w:val="000000"/>
          <w:sz w:val="26"/>
        </w:rPr>
        <w:t>предоставления субсидий в целях финансового обеспечения затрат на создание, реконструкцию, капитальный ремонт</w:t>
        <w:br/>
        <w:t>и (или) модернизацию объектов по производству хлеба, хлебобулочных изделий</w:t>
      </w:r>
      <w:r>
        <w:rPr>
          <w:rFonts w:ascii="XO Thames" w:hAnsi="XO Thames"/>
          <w:sz w:val="26"/>
        </w:rPr>
        <w:t>».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2. Член Администрации, ответственный за подготовку вопроса:</w:t>
      </w:r>
      <w:r>
        <w:rPr>
          <w:rFonts w:ascii="XO Thames" w:hAnsi="XO Thames"/>
          <w:sz w:val="26"/>
        </w:rPr>
        <w:t xml:space="preserve">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 Чабдаров Альберт Маратович.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3. Разработчик:</w:t>
      </w:r>
      <w:r>
        <w:rPr>
          <w:rFonts w:ascii="XO Thames" w:hAnsi="XO Thames"/>
          <w:sz w:val="26"/>
        </w:rPr>
        <w:t xml:space="preserve"> Департамент природных ресурсов, экологии</w:t>
        <w:br/>
        <w:t>и агропромышленного комплекса Ненецкого автономного округа, главный консультант сектора по торговле и потребительскому рынку управления агропромышленного комплекса, торговли и продовольствия Савченко Мария Сергеевна, тел. 2-38-68.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 xml:space="preserve">4. Докладывает: </w:t>
      </w:r>
      <w:r>
        <w:rPr>
          <w:rFonts w:ascii="XO Thames" w:hAnsi="XO Thames"/>
          <w:sz w:val="26"/>
        </w:rPr>
        <w:t>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 Чабдаров Альберт Маратович.</w:t>
      </w:r>
    </w:p>
    <w:p>
      <w:pPr>
        <w:pStyle w:val="Normal"/>
        <w:ind w:firstLine="709" w:left="0" w:right="0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5. Общая характеристика вопроса: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Статьей 16 закона Ненецкого автономного округа от 06.01.2005 № 542-оз</w:t>
        <w:br/>
        <w:t>«Об Администрации Ненецкого автономного округа и иных органах исполнительной власти Ненецкого автономного округа» установлено, что на заседаниях Администрации Ненецкого автономного округа принимаются нормативные правовые акты и правовые акты Администрации округа, соответственно проект постановления подлежит рассмотрению на заседании Администрации Ненецкого автономного округа.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В соответствии с поручением губернатора Ненецкого автономного округа</w:t>
        <w:br/>
        <w:t xml:space="preserve">по итогам совещания по вопросам производства хлебной продукции на территории округа от 06.03.2025 № 01-17/24 </w:t>
      </w:r>
      <w:r>
        <w:rPr>
          <w:rFonts w:ascii="XO Thames" w:hAnsi="XO Thames"/>
          <w:sz w:val="26"/>
        </w:rPr>
        <w:t>Департаментом природных ресурсов, экологии</w:t>
        <w:br/>
        <w:t xml:space="preserve">и агропромышленного комплекса Ненецкого автономного округа разработан проект постановления Администрации Ненецкого автономного округа «Об утверждении Порядка </w:t>
      </w:r>
      <w:r>
        <w:rPr>
          <w:rFonts w:ascii="XO Thames" w:hAnsi="XO Thames"/>
          <w:color w:val="000000"/>
          <w:sz w:val="26"/>
        </w:rPr>
        <w:t>предоставления субсидий в целях финансового обеспечения затрат</w:t>
        <w:br/>
        <w:t>на создание, реконструкцию, капитальный ремонт и (или) модернизацию объектов</w:t>
        <w:br/>
        <w:t>по производству хлеба, хлебобулочных изделий</w:t>
      </w:r>
      <w:r>
        <w:rPr>
          <w:rFonts w:ascii="XO Thames" w:hAnsi="XO Thames"/>
          <w:sz w:val="26"/>
        </w:rPr>
        <w:t>» (далее – Проект).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Проект направлен на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highlight w:val="white"/>
        </w:rPr>
        <w:t>техническое перевооружение хлебопекарных предприятий</w:t>
      </w:r>
      <w:r>
        <w:rPr>
          <w:rFonts w:ascii="XO Thames" w:hAnsi="XO Thames"/>
          <w:color w:val="000000"/>
          <w:sz w:val="26"/>
        </w:rPr>
        <w:t>. На сегодняшний день износ основных фондов старейших предприятий хлебопекарной отрасли Ненецкого автономного округа составляет 80 %. Также</w:t>
        <w:br/>
        <w:t>в сельских населенных пунктах имеются пекарни не подлежащие капитальному ремонту.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Реализация проекта позволит: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увеличить производственные мощности;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расширить ассортимент;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снизить процент брака выпускаемой продукции;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снизить себестоимость выпускаемой продукции;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повысить объемы продаж;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увеличить налоговые отчисления.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FB290D"/>
          <w:sz w:val="26"/>
        </w:rPr>
      </w:pPr>
      <w:r>
        <w:rPr>
          <w:rFonts w:ascii="XO Thames" w:hAnsi="XO Thames"/>
          <w:color w:val="000000"/>
          <w:sz w:val="26"/>
        </w:rPr>
        <w:t>В целях развития хлебопекарной промышленности в Ненецком автономном округе и обеспечение жителей региона социально значимым продовольственным товаром предлагаем предусмотреть финансирование данного мероприятия</w:t>
        <w:br/>
        <w:t>в следующих размерах: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2025 год</w:t>
      </w:r>
      <w:bookmarkStart w:id="0" w:name="__DdeLink__1814_2649056639"/>
      <w:r>
        <w:rPr>
          <w:rFonts w:ascii="XO Thames" w:hAnsi="XO Thames"/>
          <w:color w:val="000000"/>
          <w:sz w:val="26"/>
        </w:rPr>
        <w:t xml:space="preserve"> – </w:t>
      </w:r>
      <w:bookmarkEnd w:id="0"/>
      <w:r>
        <w:rPr>
          <w:rFonts w:ascii="XO Thames" w:hAnsi="XO Thames"/>
          <w:color w:val="000000"/>
          <w:sz w:val="26"/>
        </w:rPr>
        <w:t>56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rFonts w:ascii="XO Thames" w:hAnsi="XO Thames"/>
          <w:color w:val="000000"/>
          <w:sz w:val="26"/>
        </w:rPr>
        <w:t>016,00 тыс. рублей;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2026 год – 0,00 тыс. рублей;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2027 год – 0,00 тыс. рублей.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Проект не оказывает влияние на доходы и расходы бюджетов муниципальных образований.</w:t>
      </w:r>
    </w:p>
    <w:p>
      <w:pPr>
        <w:pStyle w:val="Normal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Проект затрагивает вопросы осуществления предпринимательской</w:t>
        <w:br/>
        <w:t>и инвестиционной деятельности, в связи с чем проводится оценка регулирующего воздействия.</w:t>
      </w:r>
    </w:p>
    <w:p>
      <w:pPr>
        <w:pStyle w:val="Normal"/>
        <w:ind w:firstLine="709" w:left="0" w:right="0"/>
        <w:jc w:val="both"/>
        <w:rPr/>
      </w:pPr>
      <w:r>
        <w:rPr>
          <w:color w:val="000000"/>
          <w:sz w:val="26"/>
        </w:rPr>
        <w:t>Акты, подлежащие признанию утратившими силу, изменению, дополнению</w:t>
        <w:br/>
        <w:t>в связи с принятием вносимого проекта постановления, отсутствуют.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rFonts w:ascii="XO Thames" w:hAnsi="XO Thames"/>
          <w:color w:val="000000"/>
          <w:sz w:val="26"/>
        </w:rPr>
        <w:t>Количество необходимых оригиналов правовых актов, подлежащих подписанию – 1.</w:t>
      </w:r>
    </w:p>
    <w:p>
      <w:pPr>
        <w:pStyle w:val="Normal"/>
        <w:ind w:firstLine="709" w:left="0" w:right="0"/>
        <w:jc w:val="both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6. Проект предлагаемого решения: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Принять постановление Администрации Ненецкого автономного округа</w:t>
        <w:br/>
        <w:t xml:space="preserve">«Об утверждении Порядка </w:t>
      </w:r>
      <w:r>
        <w:rPr>
          <w:rFonts w:ascii="XO Thames" w:hAnsi="XO Thames"/>
          <w:color w:val="000000"/>
          <w:sz w:val="26"/>
        </w:rPr>
        <w:t>предоставления субсидий в целях финансового обеспечения затрат на создание, реконструкцию, капитальный ремонт</w:t>
        <w:br/>
        <w:t>и (или) модернизацию объектов по производству хлеба, хлебобулочных изделий</w:t>
      </w:r>
      <w:r>
        <w:rPr>
          <w:rFonts w:ascii="XO Thames" w:hAnsi="XO Thames"/>
          <w:sz w:val="26"/>
        </w:rPr>
        <w:t>»</w:t>
        <w:br/>
        <w:t>в предложенном варианте.</w:t>
      </w:r>
    </w:p>
    <w:p>
      <w:pPr>
        <w:pStyle w:val="BodyText"/>
        <w:ind w:firstLine="709" w:left="0" w:right="-1"/>
        <w:rPr>
          <w:sz w:val="26"/>
        </w:rPr>
      </w:pPr>
      <w:r>
        <w:rPr>
          <w:rFonts w:ascii="XO Thames" w:hAnsi="XO Thames"/>
          <w:sz w:val="26"/>
        </w:rPr>
        <w:t>Департаменту природных ресурсов, экологии и агропромышленного комплекса Ненецкого автономного округа совместно с отделом организационной работы</w:t>
        <w:br/>
        <w:t>и обеспечения деятельности Администрации Ненецкого автономного округа Аппарата Администрации Ненецкого автономного округа в трехдневный срок после получения выписки из протокола организовать оформление постановления</w:t>
        <w:br/>
        <w:t>в установленном порядке.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Normal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Normal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ConsPlusNormal11"/>
        <w:ind w:hanging="0" w:left="0" w:righ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Заместитель губернатора</w:t>
      </w:r>
    </w:p>
    <w:p>
      <w:pPr>
        <w:pStyle w:val="ConsPlusNormal11"/>
        <w:ind w:hanging="0" w:left="0" w:right="0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 xml:space="preserve">Ненецкого автономного округа – </w:t>
      </w:r>
    </w:p>
    <w:p>
      <w:pPr>
        <w:pStyle w:val="ConsPlusNormal11"/>
        <w:ind w:hanging="0" w:left="0" w:right="0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 xml:space="preserve">руководитель Департамента </w:t>
      </w:r>
    </w:p>
    <w:p>
      <w:pPr>
        <w:pStyle w:val="ConsPlusNormal11"/>
        <w:ind w:hanging="0" w:left="0" w:right="0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 xml:space="preserve">природных ресурсов, экологии </w:t>
      </w:r>
    </w:p>
    <w:p>
      <w:pPr>
        <w:pStyle w:val="ConsPlusNormal11"/>
        <w:ind w:hanging="0" w:left="0" w:right="0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 xml:space="preserve">и агропромышленного комплекса </w:t>
      </w:r>
    </w:p>
    <w:p>
      <w:pPr>
        <w:pStyle w:val="ConsPlusNormal11"/>
        <w:ind w:hanging="0" w:left="0" w:right="0"/>
        <w:rPr>
          <w:rFonts w:ascii="Times New Roman" w:hAnsi="Times New Roman"/>
          <w:sz w:val="26"/>
        </w:rPr>
      </w:pPr>
      <w:r>
        <w:rPr>
          <w:rFonts w:ascii="XO Thames" w:hAnsi="XO Thames"/>
          <w:sz w:val="26"/>
        </w:rPr>
        <w:t xml:space="preserve">Ненецкого автономного округа                                </w:t>
      </w:r>
      <w:r>
        <w:rPr>
          <w:rFonts w:ascii="Times New Roman" w:hAnsi="Times New Roman"/>
          <w:sz w:val="26"/>
        </w:rPr>
        <w:t xml:space="preserve">                                     А.М. Чабдаров</w:t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basedOn w:val="Normal"/>
    <w:next w:val="Normal"/>
    <w:uiPriority w:val="9"/>
    <w:qFormat/>
    <w:pPr>
      <w:keepNext w:val="true"/>
      <w:ind w:firstLine="720"/>
      <w:jc w:val="both"/>
      <w:outlineLvl w:val="2"/>
    </w:pPr>
    <w:rPr>
      <w:sz w:val="28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ListParagraph1">
    <w:name w:val="List Paragraph1"/>
    <w:link w:val="ListParagraph1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sz w:val="28"/>
    </w:rPr>
  </w:style>
  <w:style w:type="character" w:styleId="Grame1">
    <w:name w:val="grame1"/>
    <w:basedOn w:val="DefaultParagraphFont1"/>
    <w:link w:val="Grame11"/>
    <w:qFormat/>
    <w:rPr/>
  </w:style>
  <w:style w:type="character" w:styleId="Textbodyindent">
    <w:name w:val="Text body indent"/>
    <w:qFormat/>
    <w:rPr/>
  </w:style>
  <w:style w:type="character" w:styleId="StrongEmphasis">
    <w:name w:val="Strong Emphasis"/>
    <w:link w:val="StrongEmphasis1"/>
    <w:qFormat/>
    <w:rPr>
      <w:rFonts w:ascii="Times New Roman" w:hAnsi="Times New Roman"/>
      <w:b/>
      <w:color w:val="000000"/>
      <w:spacing w:val="0"/>
      <w:sz w:val="20"/>
    </w:rPr>
  </w:style>
  <w:style w:type="character" w:styleId="Strong">
    <w:name w:val="Strong"/>
    <w:qFormat/>
    <w:rPr>
      <w:b/>
    </w:rPr>
  </w:style>
  <w:style w:type="character" w:styleId="-1">
    <w:name w:val="НАО-текст1"/>
    <w:link w:val="-11"/>
    <w:qFormat/>
    <w:rPr>
      <w:rFonts w:ascii="Cambria" w:hAnsi="Cambria"/>
      <w:sz w:val="20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BodyTextIndent21">
    <w:name w:val="Body Text Indent 21"/>
    <w:link w:val="BodyTextIndent211"/>
    <w:qFormat/>
    <w:rPr/>
  </w:style>
  <w:style w:type="character" w:styleId="11">
    <w:name w:val="Без интервала11"/>
    <w:link w:val="111"/>
    <w:qFormat/>
    <w:rPr>
      <w:rFonts w:ascii="Calibri" w:hAnsi="Calibri"/>
      <w:color w:val="000000"/>
      <w:spacing w:val="0"/>
      <w:sz w:val="22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Textbody1">
    <w:name w:val="Text body1"/>
    <w:link w:val="Textbody2"/>
    <w:qFormat/>
    <w:rPr/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18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Header11">
    <w:name w:val="Header11"/>
    <w:link w:val="Header12"/>
    <w:qFormat/>
    <w:rPr/>
  </w:style>
  <w:style w:type="character" w:styleId="ConsNormal1">
    <w:name w:val="ConsNormal1"/>
    <w:link w:val="ConsNormal11"/>
    <w:qFormat/>
    <w:rPr>
      <w:rFonts w:ascii="Arial" w:hAnsi="Arial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Textbodyindent1">
    <w:name w:val="Text body indent1"/>
    <w:link w:val="Textbodyindent2"/>
    <w:qFormat/>
    <w:rPr/>
  </w:style>
  <w:style w:type="character" w:styleId="Heading11">
    <w:name w:val="Heading 11"/>
    <w:qFormat/>
    <w:rPr>
      <w:b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9">
    <w:name w:val="Колонтитул"/>
    <w:link w:val="13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Heading311">
    <w:name w:val="Heading 311"/>
    <w:link w:val="Heading312"/>
    <w:qFormat/>
    <w:rPr>
      <w:sz w:val="28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Style10">
    <w:name w:val="Указатель"/>
    <w:link w:val="12"/>
    <w:qFormat/>
    <w:rPr>
      <w:rFonts w:ascii="PT Astra Serif" w:hAnsi="PT Astra Serif"/>
    </w:rPr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NoSpacing1">
    <w:name w:val="No Spacing1"/>
    <w:link w:val="NoSpacing11"/>
    <w:qFormat/>
    <w:rPr>
      <w:rFonts w:ascii="Calibri" w:hAnsi="Calibri"/>
      <w:color w:val="000000"/>
      <w:spacing w:val="0"/>
      <w:sz w:val="22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NormalWeb1">
    <w:name w:val="Normal (Web)1"/>
    <w:link w:val="NormalWeb11"/>
    <w:qFormat/>
    <w:rPr>
      <w:sz w:val="16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Heading111">
    <w:name w:val="Heading 111"/>
    <w:link w:val="Heading112"/>
    <w:qFormat/>
    <w:rPr>
      <w:b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Style11">
    <w:name w:val="Заголовок"/>
    <w:link w:val="1"/>
    <w:qFormat/>
    <w:rPr>
      <w:rFonts w:ascii="PT Astra Serif" w:hAnsi="PT Astra Serif"/>
      <w:sz w:val="28"/>
    </w:rPr>
  </w:style>
  <w:style w:type="character" w:styleId="Footer1">
    <w:name w:val="Footer1"/>
    <w:link w:val="Footer11"/>
    <w:qFormat/>
    <w:rPr/>
  </w:style>
  <w:style w:type="character" w:styleId="Title1">
    <w:name w:val="Title1"/>
    <w:qFormat/>
    <w:rPr>
      <w:b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Footer2">
    <w:name w:val="Footer2"/>
    <w:qFormat/>
    <w:rPr/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character" w:styleId="Title11">
    <w:name w:val="Title11"/>
    <w:link w:val="Title12"/>
    <w:qFormat/>
    <w:rPr>
      <w:b/>
    </w:rPr>
  </w:style>
  <w:style w:type="paragraph" w:styleId="1">
    <w:name w:val="Заголовок1"/>
    <w:basedOn w:val="Normal"/>
    <w:next w:val="BodyText"/>
    <w:link w:val="Style1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ind w:right="4675"/>
      <w:jc w:val="both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link w:val="Style10"/>
    <w:qFormat/>
    <w:pPr/>
    <w:rPr>
      <w:rFonts w:ascii="PT Astra Serif" w:hAnsi="PT Astra Serif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1">
    <w:name w:val="HTML Preformatted11"/>
    <w:basedOn w:val="Normal"/>
    <w:link w:val="HTMLPreformatted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ind w:left="708"/>
    </w:pPr>
    <w:rPr/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Grame11">
    <w:name w:val="grame11"/>
    <w:basedOn w:val="DefaultParagraphFont11"/>
    <w:link w:val="Grame1"/>
    <w:qFormat/>
    <w:pPr/>
    <w:rPr/>
  </w:style>
  <w:style w:type="paragraph" w:styleId="BodyTextIndent">
    <w:name w:val="Body Text Indent"/>
    <w:basedOn w:val="Normal"/>
    <w:pPr>
      <w:ind w:firstLine="720"/>
      <w:jc w:val="both"/>
    </w:pPr>
    <w:rPr/>
  </w:style>
  <w:style w:type="paragraph" w:styleId="StrongEmphasis1">
    <w:name w:val="Strong Emphasis1"/>
    <w:link w:val="Strong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rongEmphasis2">
    <w:name w:val="Strong Emphasis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-11">
    <w:name w:val="НАО-текст11"/>
    <w:basedOn w:val="Normal"/>
    <w:link w:val="-1"/>
    <w:qFormat/>
    <w:pPr>
      <w:spacing w:before="120" w:after="120"/>
      <w:ind w:firstLine="709"/>
      <w:jc w:val="both"/>
    </w:pPr>
    <w:rPr>
      <w:rFonts w:ascii="Cambria" w:hAnsi="Cambria"/>
      <w:sz w:val="20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BodyTextIndent211">
    <w:name w:val="Body Text Indent 211"/>
    <w:basedOn w:val="Normal"/>
    <w:link w:val="BodyTextIndent21"/>
    <w:qFormat/>
    <w:pPr>
      <w:tabs>
        <w:tab w:val="clear" w:pos="708"/>
        <w:tab w:val="left" w:pos="9360" w:leader="none"/>
      </w:tabs>
      <w:ind w:firstLine="720" w:right="-5"/>
      <w:jc w:val="both"/>
    </w:pPr>
    <w:rPr/>
  </w:style>
  <w:style w:type="paragraph" w:styleId="111">
    <w:name w:val="Без интервала1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9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1">
    <w:name w:val="ConsNormal11"/>
    <w:link w:val="ConsNormal1"/>
    <w:qFormat/>
    <w:pPr>
      <w:widowControl w:val="false"/>
      <w:bidi w:val="0"/>
      <w:spacing w:lineRule="auto" w:line="240" w:before="0" w:after="0"/>
      <w:ind w:firstLine="720" w:left="0" w:right="19772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indent2">
    <w:name w:val="Text body indent2"/>
    <w:link w:val="Textbodyinde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1">
    <w:name w:val="ConsPlusNonformat11"/>
    <w:link w:val="ConsPlusNonformat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1">
    <w:name w:val="No Spacing11"/>
    <w:link w:val="NoSpacing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/>
    <w:rPr>
      <w:sz w:val="16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ing512">
    <w:name w:val="Heading 512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itle12">
    <w:name w:val="Title12"/>
    <w:link w:val="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7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LibreOffice/7.6.7.2$Linux_X86_64 LibreOffice_project/60$Build-2</Application>
  <AppVersion>15.0000</AppVersion>
  <Pages>2</Pages>
  <Words>489</Words>
  <Characters>3918</Characters>
  <CharactersWithSpaces>4451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2025-04-28T07:59:12Z</dcterms:modified>
  <cp:revision>1</cp:revision>
  <dc:subject/>
  <dc:title/>
</cp:coreProperties>
</file>