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  <w:r>
        <w:drawing>
          <wp:inline>
            <wp:extent cx="572770" cy="743585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572770" cy="74358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</w:t>
      </w:r>
    </w:p>
    <w:p w14:paraId="05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6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Ненецкого автономного округа</w:t>
      </w:r>
    </w:p>
    <w:p w14:paraId="07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9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 2025 г. № _____-п</w:t>
      </w:r>
    </w:p>
    <w:p w14:paraId="0C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Нарьян-Мар</w:t>
      </w:r>
    </w:p>
    <w:p w14:paraId="0D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spacing w:val="16"/>
          <w:sz w:val="28"/>
        </w:rPr>
      </w:pPr>
    </w:p>
    <w:p w14:paraId="0E000000">
      <w:pPr>
        <w:pStyle w:val="Style_1"/>
        <w:widowControl w:val="1"/>
        <w:tabs>
          <w:tab w:leader="none" w:pos="709" w:val="clear"/>
          <w:tab w:leader="none" w:pos="8385" w:val="left"/>
        </w:tabs>
        <w:spacing w:after="0" w:before="0" w:line="240" w:lineRule="auto"/>
        <w:ind w:left="1247" w:right="1247"/>
        <w:jc w:val="center"/>
        <w:rPr>
          <w:rFonts w:ascii="Times New Roman" w:hAnsi="Times New Roman"/>
          <w:b w:val="1"/>
          <w:sz w:val="28"/>
        </w:rPr>
      </w:pPr>
      <w:r>
        <w:rPr>
          <w:rFonts w:ascii="XO Thames" w:hAnsi="XO Thames"/>
          <w:b w:val="1"/>
          <w:sz w:val="28"/>
        </w:rPr>
        <w:t>О внесении изменений</w:t>
      </w:r>
    </w:p>
    <w:p w14:paraId="0F000000">
      <w:pPr>
        <w:pStyle w:val="Style_1"/>
        <w:widowControl w:val="1"/>
        <w:tabs>
          <w:tab w:leader="none" w:pos="709" w:val="clear"/>
          <w:tab w:leader="none" w:pos="8385" w:val="left"/>
        </w:tabs>
        <w:spacing w:after="0" w:before="0" w:line="240" w:lineRule="auto"/>
        <w:ind w:left="1247" w:right="1247"/>
        <w:jc w:val="center"/>
      </w:pPr>
      <w:r>
        <w:rPr>
          <w:rFonts w:ascii="XO Thames" w:hAnsi="XO Thames"/>
          <w:b w:val="1"/>
          <w:sz w:val="28"/>
        </w:rPr>
        <w:t>в Порядок предоставления субсидий</w:t>
      </w:r>
    </w:p>
    <w:p w14:paraId="10000000">
      <w:pPr>
        <w:pStyle w:val="Style_1"/>
        <w:widowControl w:val="1"/>
        <w:tabs>
          <w:tab w:leader="none" w:pos="709" w:val="clear"/>
          <w:tab w:leader="none" w:pos="8385" w:val="left"/>
        </w:tabs>
        <w:spacing w:after="0" w:before="0" w:line="240" w:lineRule="auto"/>
        <w:ind w:left="1247" w:right="1247"/>
        <w:jc w:val="center"/>
      </w:pPr>
      <w:r>
        <w:rPr>
          <w:rFonts w:ascii="XO Thames" w:hAnsi="XO Thames"/>
          <w:b w:val="1"/>
          <w:sz w:val="28"/>
        </w:rPr>
        <w:t>в целях возмещения затрат, возникающих в связи</w:t>
      </w:r>
    </w:p>
    <w:p w14:paraId="11000000">
      <w:pPr>
        <w:pStyle w:val="Style_1"/>
        <w:widowControl w:val="1"/>
        <w:tabs>
          <w:tab w:leader="none" w:pos="709" w:val="clear"/>
          <w:tab w:leader="none" w:pos="8385" w:val="left"/>
        </w:tabs>
        <w:spacing w:after="0" w:before="0" w:line="240" w:lineRule="auto"/>
        <w:ind w:left="1247" w:right="1247"/>
        <w:jc w:val="center"/>
        <w:rPr>
          <w:rFonts w:ascii="Times New Roman" w:hAnsi="Times New Roman"/>
          <w:b w:val="1"/>
          <w:sz w:val="28"/>
        </w:rPr>
      </w:pPr>
      <w:r>
        <w:rPr>
          <w:rFonts w:ascii="XO Thames" w:hAnsi="XO Thames"/>
          <w:b w:val="1"/>
          <w:sz w:val="28"/>
        </w:rPr>
        <w:t>с реализацией населению продовольственных товаров в части затрат по доставке в сельские населенные пункты Ненецкого автономного округа</w:t>
      </w:r>
    </w:p>
    <w:p w14:paraId="12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3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4000000">
      <w:pPr>
        <w:pStyle w:val="Style_1"/>
        <w:widowControl w:val="1"/>
        <w:spacing w:after="0" w:before="0" w:line="240" w:lineRule="auto"/>
        <w:ind w:firstLine="737" w:left="0" w:right="0"/>
        <w:jc w:val="both"/>
        <w:rPr>
          <w:rFonts w:ascii="XO Thames" w:hAnsi="XO Thames"/>
        </w:rPr>
      </w:pPr>
      <w:r>
        <w:rPr>
          <w:rFonts w:ascii="XO Thames" w:hAnsi="XO Thames"/>
          <w:color w:themeColor="text1" w:val="000000"/>
          <w:sz w:val="26"/>
        </w:rPr>
        <w:t>Руководствуясь статьей 30 закона Ненецкого автономного округа от 03.02.2006 № 673-оз «О нормативных правовых актах Ненецкого автономного округа», Администрация Ненецкого автономного округа ПОСТАНОВЛЯЕТ:</w:t>
      </w:r>
    </w:p>
    <w:p w14:paraId="15000000">
      <w:pPr>
        <w:pStyle w:val="Style_1"/>
        <w:widowControl w:val="1"/>
        <w:spacing w:after="0" w:before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color w:themeColor="text1" w:val="000000"/>
          <w:sz w:val="26"/>
        </w:rPr>
        <w:t>1. Внести в Порядок предоставления субсидий в целях возмещения затрат, возникающих в связи с реализацией населению продовольственных товаров</w:t>
      </w:r>
      <w:r>
        <w:rPr>
          <w:rFonts w:ascii="XO Thames" w:hAnsi="XO Thames"/>
          <w:color w:themeColor="text1" w:val="000000"/>
          <w:sz w:val="26"/>
        </w:rPr>
        <w:br/>
      </w:r>
      <w:r>
        <w:rPr>
          <w:rFonts w:ascii="XO Thames" w:hAnsi="XO Thames"/>
          <w:color w:themeColor="text1" w:val="000000"/>
          <w:sz w:val="26"/>
        </w:rPr>
        <w:t>в части затрат по доставке в сельские населенные пункты Ненецкого автономного округа, утвержденный постановлением Администрации Ненецкого автономного округа от 21.02.2025 № 28-п (с изменениями, внесенными постановлением Администрации Ненецкого автономного округа от 17.07.2025 № 196-п), изменения согласно Приложению.</w:t>
      </w:r>
    </w:p>
    <w:p w14:paraId="16000000">
      <w:pPr>
        <w:pStyle w:val="Style_1"/>
        <w:widowControl w:val="1"/>
        <w:spacing w:after="0" w:before="0" w:line="240" w:lineRule="auto"/>
        <w:ind w:firstLine="737" w:left="0" w:right="0"/>
        <w:jc w:val="both"/>
        <w:rPr>
          <w:rFonts w:ascii="XO Thames" w:hAnsi="XO Thames"/>
        </w:rPr>
      </w:pPr>
      <w:r>
        <w:rPr>
          <w:rFonts w:ascii="XO Thames" w:hAnsi="XO Thames"/>
          <w:color w:themeColor="text1" w:val="000000"/>
          <w:sz w:val="26"/>
        </w:rPr>
        <w:t>2. </w:t>
      </w:r>
      <w:r>
        <w:rPr>
          <w:rFonts w:ascii="XO Thames" w:hAnsi="XO Thames"/>
          <w:b w:val="0"/>
          <w:color w:themeColor="text1" w:val="000000"/>
          <w:sz w:val="26"/>
        </w:rPr>
        <w:t>Настоящее постановление вступает в силу со дня его официального опубликования и распространяет свое действие на отношения, возникшие с 1 января 2026 года.</w:t>
      </w:r>
    </w:p>
    <w:p w14:paraId="17000000">
      <w:pPr>
        <w:pStyle w:val="Style_1"/>
        <w:widowControl w:val="1"/>
        <w:spacing w:after="0" w:before="0" w:line="240" w:lineRule="auto"/>
        <w:ind w:firstLine="737" w:left="0" w:right="0"/>
        <w:jc w:val="both"/>
        <w:rPr>
          <w:rFonts w:ascii="XO Thames" w:hAnsi="XO Thames"/>
        </w:rPr>
      </w:pPr>
    </w:p>
    <w:p w14:paraId="18000000">
      <w:pPr>
        <w:pStyle w:val="Style_1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19000000">
      <w:pPr>
        <w:pStyle w:val="Style_1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6"/>
        </w:rPr>
      </w:pPr>
    </w:p>
    <w:p w14:paraId="1A000000">
      <w:pPr>
        <w:pStyle w:val="Style_1"/>
        <w:widowControl w:val="0"/>
        <w:tabs>
          <w:tab w:leader="none" w:pos="709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Губернатор</w:t>
      </w:r>
    </w:p>
    <w:p w14:paraId="1B000000">
      <w:pPr>
        <w:pStyle w:val="Style_1"/>
        <w:widowControl w:val="0"/>
        <w:tabs>
          <w:tab w:leader="none" w:pos="709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Ненецкого автономного округа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                                                         И.А. Гехт</w:t>
      </w:r>
    </w:p>
    <w:p w14:paraId="1C000000">
      <w:pPr>
        <w:sectPr>
          <w:headerReference r:id="rId2" w:type="default"/>
          <w:type w:val="nextPage"/>
          <w:pgSz w:h="16838" w:orient="portrait" w:w="11906"/>
          <w:pgMar w:bottom="1134" w:footer="0" w:gutter="0" w:header="510" w:left="1701" w:right="567" w:top="1134"/>
          <w:pgNumType w:fmt="decimal" w:start="1"/>
        </w:sectPr>
      </w:pPr>
    </w:p>
    <w:p w14:paraId="1D000000">
      <w:pPr>
        <w:pStyle w:val="Style_1"/>
        <w:widowControl w:val="0"/>
        <w:numPr>
          <w:ilvl w:val="0"/>
          <w:numId w:val="0"/>
        </w:numPr>
        <w:tabs>
          <w:tab w:leader="none" w:pos="709" w:val="clear"/>
          <w:tab w:leader="none" w:pos="5550" w:val="left"/>
        </w:tabs>
        <w:spacing w:after="0" w:before="0" w:line="240" w:lineRule="auto"/>
        <w:ind w:firstLine="0" w:left="4932" w:right="0"/>
        <w:jc w:val="left"/>
        <w:outlineLvl w:val="0"/>
      </w:pPr>
      <w:r>
        <w:rPr>
          <w:rFonts w:ascii="XO Thames" w:hAnsi="XO Thames"/>
          <w:sz w:val="26"/>
        </w:rPr>
        <w:t>Приложение</w:t>
      </w:r>
    </w:p>
    <w:p w14:paraId="1E000000">
      <w:pPr>
        <w:pStyle w:val="Style_1"/>
        <w:widowControl w:val="0"/>
        <w:numPr>
          <w:ilvl w:val="0"/>
          <w:numId w:val="0"/>
        </w:numPr>
        <w:tabs>
          <w:tab w:leader="none" w:pos="709" w:val="clear"/>
          <w:tab w:leader="none" w:pos="5550" w:val="left"/>
        </w:tabs>
        <w:spacing w:after="0" w:before="0" w:line="240" w:lineRule="auto"/>
        <w:ind w:firstLine="0" w:left="4932" w:right="0"/>
        <w:jc w:val="left"/>
      </w:pPr>
      <w:r>
        <w:rPr>
          <w:rFonts w:ascii="XO Thames" w:hAnsi="XO Thames"/>
          <w:sz w:val="26"/>
        </w:rPr>
        <w:t>к постановлению Администрации</w:t>
      </w:r>
    </w:p>
    <w:p w14:paraId="1F000000">
      <w:pPr>
        <w:pStyle w:val="Style_1"/>
        <w:widowControl w:val="0"/>
        <w:numPr>
          <w:ilvl w:val="0"/>
          <w:numId w:val="0"/>
        </w:numPr>
        <w:tabs>
          <w:tab w:leader="none" w:pos="709" w:val="clear"/>
          <w:tab w:leader="none" w:pos="5550" w:val="left"/>
        </w:tabs>
        <w:spacing w:after="0" w:before="0" w:line="240" w:lineRule="auto"/>
        <w:ind w:firstLine="0" w:left="4932" w:right="0"/>
        <w:jc w:val="left"/>
      </w:pPr>
      <w:r>
        <w:rPr>
          <w:rFonts w:ascii="XO Thames" w:hAnsi="XO Thames"/>
          <w:sz w:val="26"/>
        </w:rPr>
        <w:t>Ненецкого автономного округа</w:t>
      </w:r>
    </w:p>
    <w:p w14:paraId="20000000">
      <w:pPr>
        <w:pStyle w:val="Style_1"/>
        <w:widowControl w:val="0"/>
        <w:numPr>
          <w:ilvl w:val="0"/>
          <w:numId w:val="0"/>
        </w:numPr>
        <w:tabs>
          <w:tab w:leader="none" w:pos="709" w:val="clear"/>
          <w:tab w:leader="none" w:pos="5550" w:val="left"/>
        </w:tabs>
        <w:spacing w:after="0" w:before="0" w:line="240" w:lineRule="auto"/>
        <w:ind w:firstLine="0" w:left="4932" w:right="0"/>
        <w:jc w:val="left"/>
      </w:pPr>
      <w:r>
        <w:rPr>
          <w:rFonts w:ascii="XO Thames" w:hAnsi="XO Thames"/>
          <w:sz w:val="26"/>
        </w:rPr>
        <w:t>от _________2025 № ____-п</w:t>
      </w:r>
    </w:p>
    <w:p w14:paraId="21000000">
      <w:pPr>
        <w:pStyle w:val="Style_1"/>
        <w:widowControl w:val="0"/>
        <w:numPr>
          <w:ilvl w:val="0"/>
          <w:numId w:val="0"/>
        </w:numPr>
        <w:tabs>
          <w:tab w:leader="none" w:pos="709" w:val="clear"/>
          <w:tab w:leader="none" w:pos="5550" w:val="left"/>
        </w:tabs>
        <w:spacing w:after="0" w:before="0" w:line="240" w:lineRule="auto"/>
        <w:ind w:firstLine="0" w:left="4932" w:right="0"/>
        <w:jc w:val="left"/>
      </w:pPr>
      <w:r>
        <w:rPr>
          <w:rFonts w:ascii="XO Thames" w:hAnsi="XO Thames"/>
          <w:sz w:val="26"/>
        </w:rPr>
        <w:t xml:space="preserve">«О внесении изменений </w:t>
      </w:r>
      <w:r>
        <w:rPr>
          <w:rFonts w:ascii="XO Thames" w:hAnsi="XO Thames"/>
          <w:color w:themeColor="text1" w:val="000000"/>
          <w:sz w:val="26"/>
        </w:rPr>
        <w:t>в Порядок предоставления субсидий в целях возмещения затрат, возникающих в связи с реализацией населению продовольственных товаров в части затрат по доставке в сельские населенные пункты Ненецкого автономного округа</w:t>
      </w:r>
      <w:r>
        <w:rPr>
          <w:rFonts w:ascii="XO Thames" w:hAnsi="XO Thames"/>
          <w:sz w:val="26"/>
        </w:rPr>
        <w:t>»</w:t>
      </w:r>
    </w:p>
    <w:p w14:paraId="22000000">
      <w:pPr>
        <w:pStyle w:val="Style_1"/>
        <w:widowControl w:val="1"/>
        <w:numPr>
          <w:ilvl w:val="0"/>
          <w:numId w:val="0"/>
        </w:numPr>
        <w:spacing w:after="0" w:before="0" w:line="240" w:lineRule="auto"/>
        <w:ind w:firstLine="0" w:left="4536"/>
        <w:outlineLvl w:val="0"/>
        <w:rPr>
          <w:rFonts w:ascii="Times New Roman" w:hAnsi="Times New Roman"/>
          <w:sz w:val="26"/>
        </w:rPr>
      </w:pPr>
    </w:p>
    <w:p w14:paraId="23000000">
      <w:pPr>
        <w:pStyle w:val="Style_1"/>
        <w:widowControl w:val="1"/>
        <w:numPr>
          <w:ilvl w:val="0"/>
          <w:numId w:val="0"/>
        </w:numPr>
        <w:spacing w:after="0" w:before="0" w:line="240" w:lineRule="auto"/>
        <w:ind w:firstLine="0" w:left="4536"/>
        <w:outlineLvl w:val="0"/>
        <w:rPr>
          <w:rFonts w:ascii="Times New Roman" w:hAnsi="Times New Roman"/>
          <w:sz w:val="26"/>
        </w:rPr>
      </w:pPr>
    </w:p>
    <w:p w14:paraId="24000000">
      <w:pPr>
        <w:pStyle w:val="Style_1"/>
        <w:widowControl w:val="1"/>
        <w:numPr>
          <w:ilvl w:val="0"/>
          <w:numId w:val="0"/>
        </w:numPr>
        <w:spacing w:after="0" w:before="0" w:line="240" w:lineRule="auto"/>
        <w:ind w:firstLine="0" w:left="4536"/>
        <w:outlineLvl w:val="0"/>
        <w:rPr>
          <w:rFonts w:ascii="Times New Roman" w:hAnsi="Times New Roman"/>
          <w:sz w:val="26"/>
        </w:rPr>
      </w:pPr>
    </w:p>
    <w:p w14:paraId="25000000">
      <w:pPr>
        <w:pStyle w:val="Style_1"/>
        <w:widowControl w:val="1"/>
        <w:numPr>
          <w:ilvl w:val="0"/>
          <w:numId w:val="0"/>
        </w:numPr>
        <w:spacing w:after="0" w:before="0" w:line="240" w:lineRule="auto"/>
        <w:ind w:firstLine="0" w:left="4536"/>
        <w:outlineLvl w:val="0"/>
        <w:rPr>
          <w:rFonts w:ascii="Times New Roman" w:hAnsi="Times New Roman"/>
          <w:sz w:val="26"/>
        </w:rPr>
      </w:pPr>
    </w:p>
    <w:p w14:paraId="26000000">
      <w:pPr>
        <w:pStyle w:val="Style_1"/>
        <w:widowControl w:val="1"/>
        <w:spacing w:after="0" w:before="0" w:line="240" w:lineRule="auto"/>
        <w:ind w:firstLine="0" w:left="1304" w:right="1304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 xml:space="preserve">Изменения в </w:t>
      </w:r>
      <w:r>
        <w:rPr>
          <w:rFonts w:ascii="XO Thames" w:hAnsi="XO Thames"/>
          <w:b w:val="1"/>
          <w:color w:themeColor="text1" w:val="000000"/>
          <w:sz w:val="26"/>
        </w:rPr>
        <w:t xml:space="preserve">Порядок предоставления субсидий в целях возмещения затрат, возникающих в связи с реализацией населению продовольственных товаров в части затрат </w:t>
      </w:r>
      <w:r>
        <w:rPr>
          <w:rFonts w:ascii="XO Thames" w:hAnsi="XO Thames"/>
          <w:b w:val="1"/>
          <w:color w:themeColor="text1" w:val="000000"/>
          <w:sz w:val="26"/>
        </w:rPr>
        <w:br/>
      </w:r>
      <w:r>
        <w:rPr>
          <w:rFonts w:ascii="XO Thames" w:hAnsi="XO Thames"/>
          <w:b w:val="1"/>
          <w:color w:themeColor="text1" w:val="000000"/>
          <w:sz w:val="26"/>
        </w:rPr>
        <w:t xml:space="preserve">по доставке в сельские населенные пункты </w:t>
      </w:r>
      <w:r>
        <w:rPr>
          <w:rFonts w:ascii="XO Thames" w:hAnsi="XO Thames"/>
          <w:b w:val="1"/>
          <w:color w:themeColor="text1" w:val="000000"/>
          <w:sz w:val="26"/>
        </w:rPr>
        <w:br/>
      </w:r>
      <w:r>
        <w:rPr>
          <w:rFonts w:ascii="XO Thames" w:hAnsi="XO Thames"/>
          <w:b w:val="1"/>
          <w:color w:themeColor="text1" w:val="000000"/>
          <w:sz w:val="26"/>
        </w:rPr>
        <w:t>Ненецкого автономного округа</w:t>
      </w:r>
    </w:p>
    <w:p w14:paraId="27000000">
      <w:pPr>
        <w:pStyle w:val="Style_1"/>
        <w:widowControl w:val="0"/>
        <w:spacing w:after="0" w:before="0" w:line="240" w:lineRule="auto"/>
        <w:ind w:firstLine="0" w:left="1134" w:right="1133"/>
        <w:jc w:val="center"/>
        <w:rPr>
          <w:rFonts w:ascii="XO Thames" w:hAnsi="XO Thames"/>
          <w:b w:val="1"/>
          <w:sz w:val="26"/>
        </w:rPr>
      </w:pPr>
    </w:p>
    <w:p w14:paraId="28000000">
      <w:pPr>
        <w:pStyle w:val="Style_1"/>
        <w:widowControl w:val="0"/>
        <w:spacing w:after="0" w:before="0" w:line="240" w:lineRule="auto"/>
        <w:ind w:firstLine="0" w:left="1134" w:right="1133"/>
        <w:jc w:val="center"/>
        <w:rPr>
          <w:rFonts w:ascii="XO Thames" w:hAnsi="XO Thames"/>
          <w:b w:val="1"/>
          <w:sz w:val="26"/>
        </w:rPr>
      </w:pPr>
    </w:p>
    <w:p w14:paraId="29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color w:val="000000"/>
          <w:spacing w:val="0"/>
          <w:sz w:val="26"/>
        </w:rPr>
      </w:pPr>
      <w:r>
        <w:rPr>
          <w:rFonts w:ascii="XO Thames" w:hAnsi="XO Thames"/>
          <w:color w:val="000000"/>
          <w:spacing w:val="0"/>
          <w:sz w:val="26"/>
        </w:rPr>
        <w:t>1. Пункт 15 изложить в следующей редакции:</w:t>
      </w:r>
    </w:p>
    <w:p w14:paraId="2A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pacing w:val="0"/>
          <w:sz w:val="26"/>
        </w:rPr>
        <w:t>«15. Субсидированию подлежат затраты</w:t>
      </w:r>
      <w:r>
        <w:rPr>
          <w:rFonts w:ascii="XO Thames" w:hAnsi="XO Thames"/>
          <w:b w:val="0"/>
          <w:color w:val="000000"/>
          <w:spacing w:val="0"/>
          <w:sz w:val="26"/>
        </w:rPr>
        <w:t xml:space="preserve"> по доставке продовольственных товаров всеми видами транспорта в сельские населенные пункты Ненецкого автономного округа, за исключением расходов на транспортировку продовольственных товаров со складов, расположенных в пределах города</w:t>
      </w:r>
      <w:r>
        <w:rPr>
          <w:rFonts w:ascii="XO Thames" w:hAnsi="XO Thames"/>
          <w:b w:val="0"/>
          <w:color w:val="000000"/>
          <w:spacing w:val="0"/>
          <w:sz w:val="26"/>
        </w:rPr>
        <w:br/>
      </w:r>
      <w:r>
        <w:rPr>
          <w:rFonts w:ascii="XO Thames" w:hAnsi="XO Thames"/>
          <w:b w:val="0"/>
          <w:color w:val="000000"/>
          <w:spacing w:val="0"/>
          <w:sz w:val="26"/>
        </w:rPr>
        <w:t>Нарьян-Мара и рабочего поселка Искателей Ненецкого автономного округа, до мест загрузки авиационного, речного и морского транспорта.</w:t>
      </w:r>
    </w:p>
    <w:p w14:paraId="2B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XO Thames" w:hAnsi="XO Thames"/>
          <w:b w:val="0"/>
          <w:sz w:val="26"/>
        </w:rPr>
      </w:pPr>
      <w:r>
        <w:rPr>
          <w:rFonts w:ascii="XO Thames" w:hAnsi="XO Thames"/>
          <w:b w:val="0"/>
          <w:sz w:val="26"/>
        </w:rPr>
        <w:t xml:space="preserve">Размер затрат, подлежащих возмещению, рассчитывается исходя из стоимости транспортировки продовольственных товаров, включенных в Перечень (без учета НДС, за исключением случаев, если получатель </w:t>
      </w:r>
      <w:r>
        <w:rPr>
          <w:rFonts w:ascii="XO Thames" w:hAnsi="XO Thames"/>
          <w:b w:val="0"/>
          <w:sz w:val="26"/>
        </w:rPr>
        <w:t>субсидии</w:t>
      </w:r>
      <w:r>
        <w:rPr>
          <w:rFonts w:ascii="XO Thames" w:hAnsi="XO Thames"/>
          <w:b w:val="0"/>
          <w:sz w:val="26"/>
        </w:rPr>
        <w:t xml:space="preserve"> не является плательщиком НДС).</w:t>
      </w:r>
    </w:p>
    <w:p w14:paraId="2C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sz w:val="26"/>
        </w:rPr>
        <w:t>П</w:t>
      </w:r>
      <w:r>
        <w:rPr>
          <w:rFonts w:ascii="XO Thames" w:hAnsi="XO Thames"/>
          <w:b w:val="0"/>
          <w:sz w:val="26"/>
        </w:rPr>
        <w:t>роцент</w:t>
      </w:r>
      <w:r>
        <w:rPr>
          <w:rFonts w:ascii="XO Thames" w:hAnsi="XO Thames"/>
          <w:b w:val="0"/>
          <w:sz w:val="26"/>
        </w:rPr>
        <w:t>ы</w:t>
      </w:r>
      <w:r>
        <w:rPr>
          <w:rFonts w:ascii="XO Thames" w:hAnsi="XO Thames"/>
          <w:b w:val="0"/>
          <w:sz w:val="26"/>
        </w:rPr>
        <w:t xml:space="preserve"> возмещения затрат на транспортировку продовольственных товаров установлены </w:t>
      </w:r>
      <w:r>
        <w:rPr>
          <w:rFonts w:ascii="XO Thames" w:hAnsi="XO Thames"/>
          <w:b w:val="0"/>
          <w:sz w:val="26"/>
        </w:rPr>
        <w:t>в размерах согласно</w:t>
      </w:r>
      <w:r>
        <w:rPr>
          <w:rFonts w:ascii="XO Thames" w:hAnsi="XO Thames"/>
          <w:b w:val="0"/>
          <w:sz w:val="26"/>
        </w:rPr>
        <w:t xml:space="preserve"> Приложени</w:t>
      </w:r>
      <w:r>
        <w:rPr>
          <w:rFonts w:ascii="XO Thames" w:hAnsi="XO Thames"/>
          <w:b w:val="0"/>
          <w:sz w:val="26"/>
        </w:rPr>
        <w:t>ю</w:t>
      </w:r>
      <w:r>
        <w:rPr>
          <w:rFonts w:ascii="XO Thames" w:hAnsi="XO Thames"/>
          <w:b w:val="0"/>
          <w:sz w:val="26"/>
        </w:rPr>
        <w:t xml:space="preserve"> 1.1 к настоящему Порядку</w:t>
      </w:r>
      <w:r>
        <w:rPr>
          <w:rFonts w:ascii="XO Thames" w:hAnsi="XO Thames"/>
          <w:b w:val="0"/>
          <w:sz w:val="26"/>
        </w:rPr>
        <w:br/>
      </w:r>
      <w:r>
        <w:rPr>
          <w:rFonts w:ascii="XO Thames" w:hAnsi="XO Thames"/>
          <w:b w:val="0"/>
          <w:sz w:val="26"/>
        </w:rPr>
        <w:t>и определены исходя из количества жителей, зарегистрированных по месту жительства в населенном пункте и транспортной удаленности населенного пункта.</w:t>
      </w:r>
    </w:p>
    <w:p w14:paraId="2D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sz w:val="26"/>
        </w:rPr>
        <w:t>Размер затрат, подлежащих возмещению в связи с доставкой продовольственных товаров наземным транспортом в сельские населенные пункты Ненецкого автономного округа, не может превышать размер максимальных затрат, определенных согласно Приложению 2 к настоящему Порядку, за исключением доставки товаров в пределах сельского населенного пункта от места разгрузки авиационным, речным и морским транспортом до места назначения.».</w:t>
      </w:r>
    </w:p>
    <w:p w14:paraId="2E000000">
      <w:pPr>
        <w:pStyle w:val="Style_1"/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color w:val="000000"/>
          <w:spacing w:val="0"/>
          <w:sz w:val="26"/>
        </w:rPr>
        <w:t>2. П</w:t>
      </w:r>
      <w:r>
        <w:rPr>
          <w:rFonts w:ascii="XO Thames" w:hAnsi="XO Thames"/>
          <w:b w:val="0"/>
          <w:color w:themeColor="text1" w:val="000000"/>
          <w:spacing w:val="0"/>
          <w:sz w:val="26"/>
        </w:rPr>
        <w:t>ункт 58 изложить в следующей редакции:</w:t>
      </w:r>
    </w:p>
    <w:p w14:paraId="2F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color w:themeColor="text1" w:val="000000"/>
          <w:sz w:val="26"/>
        </w:rPr>
        <w:t>«58. Субсидия предоставляется при соблюдении следующих условий:</w:t>
      </w:r>
    </w:p>
    <w:p w14:paraId="30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color w:themeColor="text1" w:val="000000"/>
          <w:sz w:val="26"/>
        </w:rPr>
        <w:t xml:space="preserve">1) использование заявителем при ценообразовании на продовольственные товары, определенные пунктами 1-18 Перечня и приобретенные за пределами территории Ненецкого автономного округа, торговой наценки, не превышающей 80 процентов от их закупочной цены; </w:t>
      </w:r>
    </w:p>
    <w:p w14:paraId="31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color w:themeColor="text1" w:val="000000"/>
          <w:sz w:val="26"/>
        </w:rPr>
        <w:t>2) использование заявителем при ценообразовании на продовольственные товары, определенные пунктами 1-18 Перечня и приобретенные на территории Ненецкого автономного округа, торговой наценки, не превышающей 50 процентов</w:t>
      </w:r>
      <w:r>
        <w:rPr>
          <w:rFonts w:ascii="XO Thames" w:hAnsi="XO Thames"/>
          <w:b w:val="0"/>
          <w:color w:themeColor="text1" w:val="000000"/>
          <w:sz w:val="26"/>
        </w:rPr>
        <w:br/>
      </w:r>
      <w:r>
        <w:rPr>
          <w:rFonts w:ascii="XO Thames" w:hAnsi="XO Thames"/>
          <w:b w:val="0"/>
          <w:color w:themeColor="text1" w:val="000000"/>
          <w:sz w:val="26"/>
        </w:rPr>
        <w:t>от их закупочной цены;</w:t>
      </w:r>
    </w:p>
    <w:p w14:paraId="32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color w:themeColor="text1" w:val="000000"/>
          <w:sz w:val="26"/>
        </w:rPr>
        <w:t>3) использование заявителем при ценообразовании на продовольственные товары, определенные пунктами 19 и 20 Перечня, торговой наценки,</w:t>
      </w:r>
      <w:r>
        <w:rPr>
          <w:rFonts w:ascii="XO Thames" w:hAnsi="XO Thames"/>
          <w:b w:val="0"/>
          <w:color w:themeColor="text1" w:val="000000"/>
          <w:sz w:val="26"/>
        </w:rPr>
        <w:br/>
      </w:r>
      <w:r>
        <w:rPr>
          <w:rFonts w:ascii="XO Thames" w:hAnsi="XO Thames"/>
          <w:b w:val="0"/>
          <w:color w:themeColor="text1" w:val="000000"/>
          <w:sz w:val="26"/>
        </w:rPr>
        <w:t>не превышающей 50 процентов от их закупочной цены;</w:t>
      </w:r>
    </w:p>
    <w:p w14:paraId="33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color w:themeColor="text1" w:val="000000"/>
          <w:sz w:val="26"/>
        </w:rPr>
        <w:t>4) наличие в розничной продаже не менее 75 процентов наименований товаров, указанных в Перечне;</w:t>
      </w:r>
    </w:p>
    <w:p w14:paraId="34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color w:themeColor="text1" w:val="000000"/>
          <w:sz w:val="26"/>
        </w:rPr>
        <w:t>5) оплата услуг по доставке продовольственных товаров произведена путем безналичного расчета.».</w:t>
      </w:r>
    </w:p>
    <w:p w14:paraId="35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sz w:val="26"/>
        </w:rPr>
        <w:t>3. </w:t>
      </w:r>
      <w:r>
        <w:rPr>
          <w:rFonts w:ascii="XO Thames" w:hAnsi="XO Thames"/>
          <w:b w:val="0"/>
          <w:strike w:val="0"/>
          <w:color w:themeColor="text1" w:val="000000"/>
          <w:sz w:val="26"/>
        </w:rPr>
        <w:t>В</w:t>
      </w:r>
      <w:r>
        <w:rPr>
          <w:rFonts w:ascii="XO Thames" w:hAnsi="XO Thames"/>
          <w:b w:val="0"/>
          <w:strike w:val="0"/>
          <w:color w:themeColor="text1" w:val="000000"/>
          <w:spacing w:val="0"/>
          <w:sz w:val="26"/>
        </w:rPr>
        <w:t xml:space="preserve"> пункте 59 слова «(для получения субсидии за январь 2025 года заявители представляют документы не позднее 31 марта 2025 года)» исключить.</w:t>
      </w:r>
    </w:p>
    <w:p w14:paraId="36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sz w:val="26"/>
        </w:rPr>
        <w:t>4. </w:t>
      </w:r>
      <w:r>
        <w:rPr>
          <w:rFonts w:ascii="XO Thames" w:hAnsi="XO Thames"/>
          <w:b w:val="0"/>
          <w:color w:themeColor="text1" w:val="000000"/>
          <w:sz w:val="26"/>
        </w:rPr>
        <w:t>Приложение 1 дополнить пунктами 19 и 20 следующего содержания:</w:t>
      </w:r>
    </w:p>
    <w:p w14:paraId="37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b w:val="0"/>
          <w:sz w:val="26"/>
        </w:rPr>
      </w:pPr>
      <w:r>
        <w:rPr>
          <w:rFonts w:ascii="XO Thames" w:hAnsi="XO Thames"/>
          <w:b w:val="0"/>
          <w:color w:themeColor="text1" w:val="000000"/>
          <w:sz w:val="26"/>
        </w:rPr>
        <w:t>«19. Произведенные на территории Ненецкого автономного округа полуфабрикаты мясные (пельмени, фрикадельки, тефтели, котлеты, фарш, полуфабрикаты порционные панированные натуральные из оленины, свинины, мяса птицы), консервы мясные тушеные из оленины, консервы мясо-растительные (заправка для макарон по-флотски, оленина с брусничным соусом, тефтели</w:t>
      </w:r>
      <w:r>
        <w:rPr>
          <w:rFonts w:ascii="XO Thames" w:hAnsi="XO Thames"/>
          <w:b w:val="0"/>
          <w:color w:themeColor="text1" w:val="000000"/>
          <w:sz w:val="26"/>
        </w:rPr>
        <w:br/>
      </w:r>
      <w:r>
        <w:rPr>
          <w:rFonts w:ascii="XO Thames" w:hAnsi="XO Thames"/>
          <w:b w:val="0"/>
          <w:color w:themeColor="text1" w:val="000000"/>
          <w:sz w:val="26"/>
        </w:rPr>
        <w:t>из оленины в томатном соусе, жаркое из оленины по-ненецки, каша перловая</w:t>
      </w:r>
      <w:r>
        <w:rPr>
          <w:rFonts w:ascii="XO Thames" w:hAnsi="XO Thames"/>
          <w:b w:val="0"/>
          <w:color w:themeColor="text1" w:val="000000"/>
          <w:sz w:val="26"/>
        </w:rPr>
        <w:br/>
      </w:r>
      <w:r>
        <w:rPr>
          <w:rFonts w:ascii="XO Thames" w:hAnsi="XO Thames"/>
          <w:b w:val="0"/>
          <w:color w:themeColor="text1" w:val="000000"/>
          <w:sz w:val="26"/>
        </w:rPr>
        <w:t>с олениной, каша гречневая с олениной, гуляш из оленины с томатным соусом, каша рисовая с олениной).</w:t>
      </w:r>
    </w:p>
    <w:p w14:paraId="38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color w:themeColor="text1" w:val="000000"/>
          <w:sz w:val="26"/>
        </w:rPr>
        <w:t>20. Произведенные на территории Ненецкого автономного округа изделия кондитерские мучные (печенье, торты, пирожные, пряники, коврижки, кексы, баба, рулеты, вафли, сладости восточные), пастила, мармелад.».</w:t>
      </w:r>
    </w:p>
    <w:p w14:paraId="39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0"/>
          <w:color w:themeColor="text1" w:val="000000"/>
          <w:sz w:val="26"/>
        </w:rPr>
        <w:t>5. Дополнить Приложением 1.1 следующего содержания:</w:t>
      </w:r>
    </w:p>
    <w:p w14:paraId="3A000000">
      <w:pPr>
        <w:pStyle w:val="Style_3"/>
        <w:widowControl w:val="1"/>
        <w:spacing w:after="0" w:before="0" w:line="240" w:lineRule="auto"/>
        <w:ind w:firstLine="0" w:left="5329" w:right="0"/>
        <w:jc w:val="left"/>
        <w:rPr>
          <w:rFonts w:ascii="XO Thames" w:hAnsi="XO Thames"/>
          <w:b w:val="0"/>
          <w:sz w:val="26"/>
        </w:rPr>
      </w:pPr>
      <w:r>
        <w:rPr>
          <w:rFonts w:ascii="XO Thames" w:hAnsi="XO Thames"/>
          <w:b w:val="0"/>
          <w:color w:themeColor="text1" w:val="000000"/>
          <w:sz w:val="26"/>
        </w:rPr>
        <w:t>«Приложение 1.1</w:t>
      </w:r>
    </w:p>
    <w:p w14:paraId="3B000000">
      <w:pPr>
        <w:pStyle w:val="Style_3"/>
        <w:widowControl w:val="1"/>
        <w:spacing w:after="0" w:before="0" w:line="240" w:lineRule="auto"/>
        <w:ind w:firstLine="0" w:left="5329" w:right="0"/>
        <w:jc w:val="left"/>
        <w:rPr>
          <w:rFonts w:ascii="XO Thames" w:hAnsi="XO Thames"/>
          <w:b w:val="0"/>
          <w:sz w:val="26"/>
        </w:rPr>
      </w:pPr>
      <w:r>
        <w:rPr>
          <w:rFonts w:ascii="XO Thames" w:hAnsi="XO Thames"/>
          <w:b w:val="0"/>
          <w:sz w:val="26"/>
        </w:rPr>
        <w:t xml:space="preserve">к Порядку предоставления субсидий </w:t>
      </w:r>
    </w:p>
    <w:p w14:paraId="3C000000">
      <w:pPr>
        <w:pStyle w:val="Style_3"/>
        <w:widowControl w:val="1"/>
        <w:spacing w:after="0" w:before="0" w:line="240" w:lineRule="auto"/>
        <w:ind w:firstLine="0" w:left="5329" w:right="0"/>
        <w:jc w:val="left"/>
        <w:rPr>
          <w:rFonts w:ascii="XO Thames" w:hAnsi="XO Thames"/>
          <w:b w:val="0"/>
          <w:sz w:val="26"/>
        </w:rPr>
      </w:pPr>
      <w:r>
        <w:rPr>
          <w:rFonts w:ascii="XO Thames" w:hAnsi="XO Thames"/>
          <w:b w:val="0"/>
          <w:sz w:val="26"/>
        </w:rPr>
        <w:t xml:space="preserve">в целях возмещения затрат, </w:t>
      </w:r>
    </w:p>
    <w:p w14:paraId="3D000000">
      <w:pPr>
        <w:pStyle w:val="Style_3"/>
        <w:widowControl w:val="1"/>
        <w:spacing w:after="0" w:before="0" w:line="240" w:lineRule="auto"/>
        <w:ind w:firstLine="0" w:left="5329" w:right="0"/>
        <w:jc w:val="left"/>
        <w:rPr>
          <w:rFonts w:ascii="XO Thames" w:hAnsi="XO Thames"/>
          <w:b w:val="0"/>
          <w:sz w:val="26"/>
        </w:rPr>
      </w:pPr>
      <w:r>
        <w:rPr>
          <w:rFonts w:ascii="XO Thames" w:hAnsi="XO Thames"/>
          <w:b w:val="0"/>
          <w:sz w:val="26"/>
        </w:rPr>
        <w:t xml:space="preserve">возникающих в связи с реализацией </w:t>
      </w:r>
    </w:p>
    <w:p w14:paraId="3E000000">
      <w:pPr>
        <w:pStyle w:val="Style_3"/>
        <w:widowControl w:val="1"/>
        <w:spacing w:after="0" w:before="0" w:line="240" w:lineRule="auto"/>
        <w:ind w:firstLine="0" w:left="5329" w:right="0"/>
        <w:jc w:val="left"/>
        <w:rPr>
          <w:rFonts w:ascii="XO Thames" w:hAnsi="XO Thames"/>
          <w:b w:val="0"/>
          <w:sz w:val="26"/>
        </w:rPr>
      </w:pPr>
      <w:r>
        <w:rPr>
          <w:rFonts w:ascii="XO Thames" w:hAnsi="XO Thames"/>
          <w:b w:val="0"/>
          <w:sz w:val="26"/>
        </w:rPr>
        <w:t xml:space="preserve">населению продовольственных товаров в части затрат по доставке </w:t>
      </w:r>
    </w:p>
    <w:p w14:paraId="3F000000">
      <w:pPr>
        <w:pStyle w:val="Style_3"/>
        <w:widowControl w:val="1"/>
        <w:spacing w:after="0" w:before="0" w:line="240" w:lineRule="auto"/>
        <w:ind w:firstLine="0" w:left="5329" w:right="0"/>
        <w:jc w:val="left"/>
        <w:rPr>
          <w:rFonts w:ascii="XO Thames" w:hAnsi="XO Thames"/>
          <w:b w:val="0"/>
          <w:sz w:val="26"/>
        </w:rPr>
      </w:pPr>
      <w:r>
        <w:rPr>
          <w:rFonts w:ascii="XO Thames" w:hAnsi="XO Thames"/>
          <w:b w:val="0"/>
          <w:sz w:val="26"/>
        </w:rPr>
        <w:t xml:space="preserve">в сельские населенные пункты </w:t>
      </w:r>
    </w:p>
    <w:p w14:paraId="40000000">
      <w:pPr>
        <w:pStyle w:val="Style_3"/>
        <w:widowControl w:val="1"/>
        <w:spacing w:after="0" w:before="0" w:line="240" w:lineRule="auto"/>
        <w:ind w:firstLine="0" w:left="5329" w:right="0"/>
        <w:jc w:val="left"/>
        <w:rPr>
          <w:rFonts w:ascii="XO Thames" w:hAnsi="XO Thames"/>
          <w:b w:val="0"/>
          <w:sz w:val="26"/>
        </w:rPr>
      </w:pPr>
      <w:r>
        <w:rPr>
          <w:rFonts w:ascii="XO Thames" w:hAnsi="XO Thames"/>
          <w:b w:val="0"/>
          <w:sz w:val="26"/>
        </w:rPr>
        <w:t xml:space="preserve">Ненецкого автономного округа </w:t>
      </w:r>
    </w:p>
    <w:p w14:paraId="41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XO Thames" w:hAnsi="XO Thames"/>
          <w:b w:val="0"/>
          <w:color w:themeColor="text1" w:val="000000"/>
        </w:rPr>
      </w:pPr>
    </w:p>
    <w:p w14:paraId="42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XO Thames" w:hAnsi="XO Thames"/>
          <w:b w:val="0"/>
          <w:sz w:val="26"/>
        </w:rPr>
      </w:pPr>
    </w:p>
    <w:p w14:paraId="43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XO Thames" w:hAnsi="XO Thames"/>
          <w:b w:val="0"/>
          <w:sz w:val="26"/>
        </w:rPr>
      </w:pPr>
    </w:p>
    <w:p w14:paraId="44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XO Thames" w:hAnsi="XO Thames"/>
          <w:b w:val="0"/>
          <w:sz w:val="26"/>
        </w:rPr>
      </w:pPr>
    </w:p>
    <w:p w14:paraId="45000000">
      <w:pPr>
        <w:pStyle w:val="Style_3"/>
        <w:widowControl w:val="1"/>
        <w:spacing w:after="0" w:before="0" w:line="240" w:lineRule="auto"/>
        <w:ind w:firstLine="737" w:left="0" w:right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Размеры процентов возмещения затрат на транспортировку продовольственных товаров</w:t>
      </w:r>
    </w:p>
    <w:p w14:paraId="46000000">
      <w:pPr>
        <w:pStyle w:val="Style_3"/>
        <w:widowControl w:val="1"/>
        <w:spacing w:after="0" w:before="0" w:line="240" w:lineRule="auto"/>
        <w:ind w:firstLine="737" w:left="0" w:right="0"/>
        <w:jc w:val="center"/>
        <w:rPr>
          <w:rFonts w:ascii="XO Thames" w:hAnsi="XO Thames"/>
        </w:rPr>
      </w:pPr>
    </w:p>
    <w:p w14:paraId="47000000">
      <w:pPr>
        <w:pStyle w:val="Style_3"/>
        <w:widowControl w:val="1"/>
        <w:spacing w:after="0" w:before="0" w:line="240" w:lineRule="auto"/>
        <w:ind w:firstLine="737" w:left="0" w:right="0"/>
        <w:jc w:val="center"/>
        <w:rPr>
          <w:rFonts w:ascii="XO Thames" w:hAnsi="XO Thames"/>
        </w:rPr>
      </w:pPr>
    </w:p>
    <w:tbl>
      <w:tblPr>
        <w:tblStyle w:val="Style_4"/>
        <w:tblW w:type="auto" w:w="0"/>
        <w:jc w:val="left"/>
        <w:tblInd w:type="dxa" w:w="30"/>
        <w:tblLayout w:type="fixed"/>
        <w:tblCellMar>
          <w:top w:type="dxa" w:w="28"/>
          <w:left w:type="dxa" w:w="28"/>
          <w:bottom w:type="dxa" w:w="28"/>
          <w:right w:type="dxa" w:w="28"/>
        </w:tblCellMar>
      </w:tblPr>
      <w:tblGrid>
        <w:gridCol w:w="531"/>
        <w:gridCol w:w="6102"/>
        <w:gridCol w:w="3005"/>
      </w:tblGrid>
      <w:tr>
        <w:trPr>
          <w:tblHeader/>
        </w:trPr>
        <w:tc>
          <w:tcPr>
            <w:tcW w:type="dxa" w:w="531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8000000">
            <w:pPr>
              <w:pStyle w:val="Style_5"/>
              <w:widowControl w:val="1"/>
              <w:spacing w:after="0" w:before="0" w:line="240" w:lineRule="auto"/>
              <w:ind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b w:val="0"/>
                <w:color w:val="000000"/>
                <w:sz w:val="24"/>
                <w:u w:val="none"/>
              </w:rPr>
              <w:t>№</w:t>
            </w:r>
          </w:p>
          <w:p w14:paraId="49000000">
            <w:pPr>
              <w:pStyle w:val="Style_5"/>
              <w:widowControl w:val="1"/>
              <w:spacing w:after="0" w:before="0" w:line="240" w:lineRule="auto"/>
              <w:ind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b w:val="0"/>
                <w:color w:val="000000"/>
                <w:sz w:val="24"/>
                <w:u w:val="none"/>
              </w:rPr>
              <w:t>п/п</w:t>
            </w:r>
          </w:p>
        </w:tc>
        <w:tc>
          <w:tcPr>
            <w:tcW w:type="dxa" w:w="6102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A000000">
            <w:pPr>
              <w:pStyle w:val="Style_5"/>
              <w:widowControl w:val="1"/>
              <w:spacing w:after="0" w:before="0" w:line="240" w:lineRule="auto"/>
              <w:ind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b w:val="0"/>
                <w:color w:val="000000"/>
                <w:sz w:val="24"/>
                <w:u w:val="none"/>
              </w:rPr>
              <w:t>Населенные пункты</w:t>
            </w:r>
          </w:p>
          <w:p w14:paraId="4B000000">
            <w:pPr>
              <w:pStyle w:val="Style_5"/>
              <w:widowControl w:val="1"/>
              <w:spacing w:after="0" w:before="0" w:line="240" w:lineRule="auto"/>
              <w:ind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b w:val="0"/>
                <w:color w:val="000000"/>
                <w:sz w:val="24"/>
                <w:u w:val="none"/>
              </w:rPr>
              <w:t>Ненецкого автономного округа</w:t>
            </w:r>
          </w:p>
        </w:tc>
        <w:tc>
          <w:tcPr>
            <w:tcW w:type="dxa" w:w="30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C000000">
            <w:pPr>
              <w:pStyle w:val="Style_5"/>
              <w:widowControl w:val="1"/>
              <w:spacing w:after="0" w:before="0" w:line="240" w:lineRule="auto"/>
              <w:ind w:firstLine="0" w:left="0" w:right="0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b w:val="0"/>
                <w:color w:val="000000"/>
                <w:sz w:val="24"/>
                <w:u w:val="none"/>
              </w:rPr>
              <w:t>Процент возмещения затрат на транспортировку продовольственных товаров</w:t>
            </w:r>
          </w:p>
        </w:tc>
      </w:tr>
      <w:tr>
        <w:trPr>
          <w:tblHeader/>
        </w:trPr>
        <w:tc>
          <w:tcPr>
            <w:tcW w:type="dxa" w:w="531"/>
            <w:tcBorders>
              <w:top w:color="000000" w:sz="2" w:val="single"/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D000000">
            <w:pPr>
              <w:pStyle w:val="Style_5"/>
              <w:widowControl w:val="1"/>
              <w:spacing w:after="0" w:before="0" w:line="240" w:lineRule="auto"/>
              <w:ind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b w:val="0"/>
                <w:sz w:val="24"/>
              </w:rPr>
              <w:t>1</w:t>
            </w:r>
          </w:p>
        </w:tc>
        <w:tc>
          <w:tcPr>
            <w:tcW w:type="dxa" w:w="610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E000000">
            <w:pPr>
              <w:pStyle w:val="Style_5"/>
              <w:widowControl w:val="1"/>
              <w:spacing w:after="0" w:before="0" w:line="240" w:lineRule="auto"/>
              <w:ind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b w:val="0"/>
                <w:sz w:val="24"/>
              </w:rPr>
              <w:t>2</w:t>
            </w:r>
          </w:p>
        </w:tc>
        <w:tc>
          <w:tcPr>
            <w:tcW w:type="dxa" w:w="3005"/>
            <w:tcBorders>
              <w:top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4F000000">
            <w:pPr>
              <w:pStyle w:val="Style_5"/>
              <w:widowControl w:val="1"/>
              <w:spacing w:after="0" w:before="0" w:line="240" w:lineRule="auto"/>
              <w:ind w:firstLine="0" w:left="0" w:right="0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b w:val="0"/>
                <w:sz w:val="24"/>
              </w:rPr>
              <w:t>3</w:t>
            </w:r>
          </w:p>
        </w:tc>
      </w:tr>
      <w:tr>
        <w:tc>
          <w:tcPr>
            <w:tcW w:type="dxa" w:w="53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0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1.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1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"https://ru.wikipedia.org/wiki/Амдерма"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поселок Амдерма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:</w:t>
            </w:r>
          </w:p>
        </w:tc>
        <w:tc>
          <w:tcPr>
            <w:tcW w:type="dxa" w:w="3005"/>
            <w:tcBorders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2000000">
            <w:pPr>
              <w:pStyle w:val="Style_1"/>
              <w:widowControl w:val="1"/>
              <w:spacing w:after="0" w:before="0" w:line="240" w:lineRule="auto"/>
              <w:ind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53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610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3000000">
            <w:pPr>
              <w:pStyle w:val="Style_6"/>
              <w:widowControl w:val="1"/>
              <w:spacing w:after="0" w:before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все виды транспорта, за исключением наземного транспорта</w:t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4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95</w:t>
            </w:r>
          </w:p>
        </w:tc>
      </w:tr>
      <w:tr>
        <w:trPr>
          <w:trHeight w:hRule="atLeast" w:val="200"/>
        </w:trPr>
        <w:tc>
          <w:tcPr>
            <w:tcW w:type="dxa" w:w="53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5000000">
            <w:pPr>
              <w:pStyle w:val="Style_6"/>
              <w:widowControl w:val="1"/>
              <w:spacing w:after="0" w:before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наземный транспорт</w:t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6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80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7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2.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8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"https://ru.wikipedia.org/wiki/Андег"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деревня Андег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9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95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A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3.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B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"https://ru.wikipedia.org/wiki/Белушье"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деревня Белушье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C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95</w:t>
            </w:r>
          </w:p>
        </w:tc>
      </w:tr>
      <w:tr>
        <w:tc>
          <w:tcPr>
            <w:tcW w:type="dxa" w:w="53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D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4.</w:t>
            </w:r>
          </w:p>
        </w:tc>
        <w:tc>
          <w:tcPr>
            <w:tcW w:type="dxa" w:w="610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E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"https://ru.wikipedia.org/wiki/Бугрино_(Ненецкий_автономный_округ)"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поселок Бугрино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:</w:t>
            </w:r>
          </w:p>
        </w:tc>
        <w:tc>
          <w:tcPr>
            <w:tcW w:type="dxa" w:w="30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5F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XO Thames" w:hAnsi="XO Thames"/>
                <w:color w:val="000000"/>
                <w:sz w:val="24"/>
                <w:u w:val="none"/>
              </w:rPr>
            </w:pPr>
          </w:p>
        </w:tc>
      </w:tr>
      <w:tr>
        <w:tc>
          <w:tcPr>
            <w:tcW w:type="dxa" w:w="53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610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0000000">
            <w:pPr>
              <w:pStyle w:val="Style_6"/>
              <w:widowControl w:val="1"/>
              <w:spacing w:after="0" w:before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все виды транспорта, за исключением наземного транспорта</w:t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1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95</w:t>
            </w:r>
          </w:p>
        </w:tc>
      </w:tr>
      <w:tr>
        <w:tc>
          <w:tcPr>
            <w:tcW w:type="dxa" w:w="53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610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2000000">
            <w:pPr>
              <w:pStyle w:val="Style_6"/>
              <w:widowControl w:val="1"/>
              <w:spacing w:after="0" w:before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наземный транспорт</w:t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3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80</w:t>
            </w:r>
          </w:p>
        </w:tc>
      </w:tr>
      <w:tr>
        <w:tc>
          <w:tcPr>
            <w:tcW w:type="dxa" w:w="531"/>
            <w:vMerge w:val="restart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4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5.</w:t>
            </w:r>
          </w:p>
        </w:tc>
        <w:tc>
          <w:tcPr>
            <w:tcW w:type="dxa" w:w="610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5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"https://ru.wikipedia.org/wiki/Варнек_(посёлок)"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поселок Варнек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:</w:t>
            </w:r>
          </w:p>
        </w:tc>
        <w:tc>
          <w:tcPr>
            <w:tcW w:type="dxa" w:w="3005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6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right"/>
              <w:rPr>
                <w:rFonts w:ascii="XO Thames" w:hAnsi="XO Thames"/>
                <w:color w:val="000000"/>
                <w:sz w:val="24"/>
                <w:u w:val="none"/>
              </w:rPr>
            </w:pPr>
          </w:p>
        </w:tc>
      </w:tr>
      <w:tr>
        <w:trPr>
          <w:trHeight w:hRule="atLeast" w:val="372"/>
        </w:trPr>
        <w:tc>
          <w:tcPr>
            <w:tcW w:type="dxa" w:w="53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6102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7000000">
            <w:pPr>
              <w:pStyle w:val="Style_6"/>
              <w:widowControl w:val="1"/>
              <w:spacing w:after="0" w:before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все виды транспорта, за исключением наземного транспорта</w:t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8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95</w:t>
            </w:r>
          </w:p>
        </w:tc>
      </w:tr>
      <w:tr>
        <w:tc>
          <w:tcPr>
            <w:tcW w:type="dxa" w:w="531"/>
            <w:gridSpan w:val="1"/>
            <w:vMerge w:val="continue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/>
        </w:tc>
        <w:tc>
          <w:tcPr>
            <w:tcW w:type="dxa" w:w="610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9000000">
            <w:pPr>
              <w:pStyle w:val="Style_6"/>
              <w:widowControl w:val="1"/>
              <w:spacing w:after="0" w:before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наземный транспорт</w:t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A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80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B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6.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C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"https://ru.wikipedia.org/wiki/Великовисочное"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село Великовисочное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D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80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E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7.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6F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"https://ru.wikipedia.org/wiki/Верхняя_Пеша"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деревня Верхняя Пеша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0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90</w:t>
            </w:r>
          </w:p>
        </w:tc>
      </w:tr>
      <w:tr>
        <w:trPr>
          <w:trHeight w:hRule="atLeast" w:val="411"/>
        </w:trP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1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8.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2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"https://ru.wikipedia.org/wiki/Вижас_(деревня)"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деревня Вижас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3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95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4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9.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5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"https://ru.wikipedia.org/wiki/Волоковая_(Ненецкий_автономный_округ)"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деревня Волоковая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6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95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7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10.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8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"https://ru.wikipedia.org/wiki/Волонга_(Ненецкий_автономный_округ)"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деревня Волонга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9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95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A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11.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B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"https://ru.wikipedia.org/wiki/Выучейский_(посёлок)"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поселок Выучейский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C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90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D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12.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E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"https://ru.wikipedia.org/wiki/Индига_(посёлок)"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поселок Индига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7F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80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0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13.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1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"https://ru.wikipedia.org/wiki/Каменка_(Ненецкий_автономный_округ)"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деревня Каменка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2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95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3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14.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4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"https://ru.wikipedia.org/wiki/Каратайка"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поселок Каратайка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5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80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6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15.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7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"https://ru.wikipedia.org/wiki/Кия_(Ненецкий_автономный_округ)"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деревня Кия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8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95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9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16.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A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"https://ru.wikipedia.org/wiki/Коткино"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село Коткино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B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80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C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17.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D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"https://ru.wikipedia.org/wiki/Красное_(Ненецкий_автономный_округ)"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поселок Красное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E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80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8F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18.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0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"https://ru.wikipedia.org/wiki/Куя_(Ненецкий_автономный_округ)"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деревня Куя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1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95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2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19.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3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"https://ru.wikipedia.org/wiki/Лабожское"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село Лабожское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4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95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5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20.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6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"https://ru.wikipedia.org/wiki/Макарово_(Ненецкий_автономный_округ)"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деревня Макарово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7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95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8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21.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9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"https://ru.wikipedia.org/wiki/Мгла_(Ненецкий_автономный_округ)"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деревня Мгла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A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95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B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22.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C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"https://ru.wikipedia.org/wiki/Нельмин-Нос"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поселок Нельмин-Нос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D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80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E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23.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9F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"https://ru.wikipedia.org/wiki/Несь_(село)"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село Несь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0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80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1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24.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2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"https://ru.wikipedia.org/wiki/Нижняя_Пеша"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село Нижняя Пеша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3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80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4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25.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5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"https://ru.wikipedia.org/wiki/Оксино_(Ненецкий_автономный_округ)"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село Оксино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6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80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7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26.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8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"https://ru.wikipedia.org/wiki/Ома_(Ненецкий_автономный_округ)"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село Ома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9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80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A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27.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B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"https://ru.wikipedia.org/wiki/Осколково_(Ненецкий_автономный_округ)"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деревня Осколково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C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95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D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28.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E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"https://ru.wikipedia.org/wiki/Пылемец"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деревня Пылемец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AF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95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0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29.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1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"https://ru.wikipedia.org/wiki/Снопа_(деревня)"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деревня Снопа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2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95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3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30.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4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"https://ru.wikipedia.org/wiki/Тельвиска"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село Тельвиска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5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80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6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31.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7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"https://ru.wikipedia.org/wiki/Тошвиска"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деревня Тошвиска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8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95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9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32.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A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"https://ru.wikipedia.org/wiki/Устье_(Ненецкий_автономный_округ)"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деревня Устье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B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95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C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33.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D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"https://ru.wikipedia.org/wiki/Усть-Кара"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поселок Усть-Кара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E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80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BF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34.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0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"https://ru.wikipedia.org/wiki/Харута_(посёлок)"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поселок Харута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1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80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2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35.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3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"https://ru.wikipedia.org/wiki/Хонгурей"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поселок Хонгурей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4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90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5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36.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6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"https://ru.wikipedia.org/wiki/Хорей-Вер"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поселок Хорей-Вер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7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80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8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37.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9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"https://ru.wikipedia.org/wiki/Чёрная_(Ненецкий_автономный_округ)"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деревня Чёрная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A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95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B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38.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C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"https://ru.wikipedia.org/wiki/Чижа_(деревня)"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деревня Чижа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D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95</w:t>
            </w:r>
          </w:p>
        </w:tc>
      </w:tr>
      <w:t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E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39.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CF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"https://ru.wikipedia.org/wiki/Шойна_(село)"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село Шойна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0000000">
            <w:pPr>
              <w:pStyle w:val="Style_6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95</w:t>
            </w:r>
          </w:p>
        </w:tc>
      </w:tr>
      <w:tr>
        <w:trPr>
          <w:trHeight w:hRule="atLeast" w:val="387"/>
        </w:trPr>
        <w:tc>
          <w:tcPr>
            <w:tcW w:type="dxa" w:w="531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1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40.</w:t>
            </w:r>
          </w:p>
        </w:tc>
        <w:tc>
          <w:tcPr>
            <w:tcW w:type="dxa" w:w="6102"/>
            <w:tcBorders>
              <w:left w:color="000000" w:sz="2" w:val="single"/>
              <w:bottom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2000000">
            <w:pPr>
              <w:pStyle w:val="Style_6"/>
              <w:widowControl w:val="1"/>
              <w:spacing w:after="0" w:before="0" w:line="240" w:lineRule="auto"/>
              <w:ind/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begin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instrText>HYPERLINK "https://ru.wikipedia.org/wiki/Щелино_(Ненецкий_автономный_округ)"</w:instrTex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separate"/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t>деревня Щелино</w:t>
            </w:r>
            <w:r>
              <w:rPr>
                <w:rFonts w:ascii="XO Thames" w:hAnsi="XO Thames"/>
                <w:color w:val="000000"/>
                <w:sz w:val="24"/>
                <w:u w:val="none"/>
              </w:rPr>
              <w:fldChar w:fldCharType="end"/>
            </w:r>
          </w:p>
        </w:tc>
        <w:tc>
          <w:tcPr>
            <w:tcW w:type="dxa" w:w="3005"/>
            <w:tcBorders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28"/>
              <w:left w:type="dxa" w:w="28"/>
              <w:bottom w:type="dxa" w:w="28"/>
              <w:right w:type="dxa" w:w="28"/>
            </w:tcMar>
            <w:vAlign w:val="center"/>
          </w:tcPr>
          <w:p w14:paraId="D3000000">
            <w:pPr>
              <w:pStyle w:val="Style_6"/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u w:val="none"/>
              </w:rPr>
              <w:t>95</w:t>
            </w:r>
          </w:p>
        </w:tc>
      </w:tr>
    </w:tbl>
    <w:p w14:paraId="D4000000">
      <w:pPr>
        <w:pStyle w:val="Style_3"/>
        <w:widowControl w:val="1"/>
        <w:spacing w:after="0" w:before="0" w:line="240" w:lineRule="auto"/>
        <w:ind w:firstLine="0" w:left="9354" w:right="0"/>
        <w:jc w:val="both"/>
        <w:rPr>
          <w:strike w:val="0"/>
        </w:rPr>
      </w:pPr>
      <w:r>
        <w:rPr>
          <w:rFonts w:ascii="XO Thames" w:hAnsi="XO Thames"/>
          <w:b w:val="0"/>
          <w:strike w:val="0"/>
          <w:sz w:val="26"/>
        </w:rPr>
        <w:t>».</w:t>
      </w:r>
    </w:p>
    <w:p w14:paraId="D5000000">
      <w:pPr>
        <w:pStyle w:val="Style_3"/>
        <w:widowControl w:val="1"/>
        <w:spacing w:after="0" w:before="0" w:line="240" w:lineRule="auto"/>
        <w:ind w:firstLine="737" w:left="0" w:right="0"/>
        <w:jc w:val="both"/>
        <w:rPr>
          <w:rFonts w:ascii="XO Thames" w:hAnsi="XO Thames"/>
          <w:b w:val="0"/>
          <w:strike w:val="1"/>
          <w:color w:themeColor="text1" w:val="000000"/>
          <w:sz w:val="26"/>
        </w:rPr>
      </w:pPr>
    </w:p>
    <w:p w14:paraId="D6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XO Thames" w:hAnsi="XO Thames"/>
          <w:b w:val="0"/>
          <w:sz w:val="26"/>
        </w:rPr>
      </w:pPr>
    </w:p>
    <w:p w14:paraId="D7000000">
      <w:pPr>
        <w:pStyle w:val="Style_1"/>
        <w:widowControl w:val="0"/>
        <w:spacing w:after="0" w:before="0" w:line="240" w:lineRule="auto"/>
        <w:ind/>
        <w:jc w:val="center"/>
        <w:rPr>
          <w:rFonts w:ascii="XO Thames" w:hAnsi="XO Thames"/>
          <w:sz w:val="26"/>
        </w:rPr>
      </w:pPr>
      <w:r>
        <w:rPr>
          <w:rFonts w:ascii="XO Thames" w:hAnsi="XO Thames"/>
        </w:rPr>
        <w:t>____________</w:t>
      </w:r>
    </w:p>
    <w:sectPr>
      <w:headerReference r:id="rId3" w:type="default"/>
      <w:headerReference r:id="rId1" w:type="first"/>
      <w:type w:val="nextPage"/>
      <w:pgSz w:h="16838" w:orient="portrait" w:w="11906"/>
      <w:pgMar w:bottom="1134" w:footer="0" w:gutter="0" w:header="709" w:left="1701" w:right="567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spacing w:after="200" w:before="0"/>
      <w:ind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tabs>
        <w:tab w:leader="none" w:pos="4677" w:val="clear"/>
        <w:tab w:leader="none" w:pos="5357" w:val="left"/>
        <w:tab w:leader="none" w:pos="9355" w:val="clear"/>
      </w:tabs>
      <w:ind/>
    </w:pPr>
    <w:r>
      <w:tab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7" w:type="paragraph">
    <w:name w:val="annotation reference"/>
    <w:basedOn w:val="Style_8"/>
    <w:link w:val="Style_7_ch"/>
    <w:rPr>
      <w:sz w:val="16"/>
    </w:rPr>
  </w:style>
  <w:style w:styleId="Style_7_ch" w:type="character">
    <w:name w:val="annotation reference"/>
    <w:basedOn w:val="Style_8_ch"/>
    <w:link w:val="Style_7"/>
    <w:rPr>
      <w:sz w:val="1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2"/>
    <w:next w:val="Style_1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1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1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3" w:type="paragraph">
    <w:name w:val="Body Text"/>
    <w:basedOn w:val="Style_1"/>
    <w:link w:val="Style_3_ch"/>
    <w:pPr>
      <w:widowControl w:val="1"/>
      <w:spacing w:after="140" w:before="0"/>
      <w:ind/>
    </w:pPr>
  </w:style>
  <w:style w:styleId="Style_3_ch" w:type="character">
    <w:name w:val="Body Text"/>
    <w:basedOn w:val="Style_1_ch"/>
    <w:link w:val="Style_3"/>
  </w:style>
  <w:style w:styleId="Style_12" w:type="paragraph">
    <w:name w:val="toc 7"/>
    <w:next w:val="Style_1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1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Emphasis"/>
    <w:basedOn w:val="Style_8"/>
    <w:link w:val="Style_15_ch"/>
    <w:rPr>
      <w:i w:val="1"/>
    </w:rPr>
  </w:style>
  <w:style w:styleId="Style_15_ch" w:type="character">
    <w:name w:val="Emphasis"/>
    <w:basedOn w:val="Style_8_ch"/>
    <w:link w:val="Style_15"/>
    <w:rPr>
      <w:i w:val="1"/>
    </w:rPr>
  </w:style>
  <w:style w:styleId="Style_16" w:type="paragraph">
    <w:name w:val="caption1"/>
    <w:basedOn w:val="Style_1"/>
    <w:link w:val="Style_1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6_ch" w:type="character">
    <w:name w:val="caption1"/>
    <w:basedOn w:val="Style_1_ch"/>
    <w:link w:val="Style_16"/>
    <w:rPr>
      <w:rFonts w:ascii="PT Astra Serif" w:hAnsi="PT Astra Serif"/>
      <w:i w:val="1"/>
      <w:sz w:val="24"/>
    </w:rPr>
  </w:style>
  <w:style w:styleId="Style_17" w:type="paragraph">
    <w:name w:val="Normal (Web)"/>
    <w:basedOn w:val="Style_1"/>
    <w:link w:val="Style_1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Normal (Web)"/>
    <w:basedOn w:val="Style_1_ch"/>
    <w:link w:val="Style_17"/>
    <w:rPr>
      <w:rFonts w:ascii="Times New Roman" w:hAnsi="Times New Roman"/>
      <w:sz w:val="24"/>
    </w:rPr>
  </w:style>
  <w:style w:styleId="Style_18" w:type="paragraph">
    <w:name w:val="List Paragraph"/>
    <w:basedOn w:val="Style_1"/>
    <w:link w:val="Style_18_ch"/>
    <w:pPr>
      <w:widowControl w:val="1"/>
      <w:spacing w:after="200" w:before="0"/>
      <w:ind w:left="720"/>
      <w:contextualSpacing w:val="1"/>
    </w:pPr>
  </w:style>
  <w:style w:styleId="Style_18_ch" w:type="character">
    <w:name w:val="List Paragraph"/>
    <w:basedOn w:val="Style_1_ch"/>
    <w:link w:val="Style_18"/>
  </w:style>
  <w:style w:styleId="Style_19" w:type="paragraph">
    <w:name w:val="Указатель"/>
    <w:basedOn w:val="Style_1"/>
    <w:link w:val="Style_19_ch"/>
    <w:rPr>
      <w:rFonts w:ascii="PT Astra Serif" w:hAnsi="PT Astra Serif"/>
    </w:rPr>
  </w:style>
  <w:style w:styleId="Style_19_ch" w:type="character">
    <w:name w:val="Указатель"/>
    <w:basedOn w:val="Style_1_ch"/>
    <w:link w:val="Style_19"/>
    <w:rPr>
      <w:rFonts w:ascii="PT Astra Serif" w:hAnsi="PT Astra Serif"/>
    </w:rPr>
  </w:style>
  <w:style w:styleId="Style_20" w:type="paragraph">
    <w:name w:val="toc 3"/>
    <w:next w:val="Style_1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Caption"/>
    <w:basedOn w:val="Style_1"/>
    <w:link w:val="Style_21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1_ch" w:type="character">
    <w:name w:val="Caption"/>
    <w:basedOn w:val="Style_1_ch"/>
    <w:link w:val="Style_21"/>
    <w:rPr>
      <w:rFonts w:ascii="PT Astra Serif" w:hAnsi="PT Astra Serif"/>
      <w:i w:val="1"/>
      <w:sz w:val="24"/>
    </w:rPr>
  </w:style>
  <w:style w:styleId="Style_22" w:type="paragraph">
    <w:name w:val="Normal (Web)11111111111"/>
    <w:basedOn w:val="Style_1"/>
    <w:link w:val="Style_2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2_ch" w:type="character">
    <w:name w:val="Normal (Web)11111111111"/>
    <w:basedOn w:val="Style_1_ch"/>
    <w:link w:val="Style_22"/>
    <w:rPr>
      <w:rFonts w:ascii="Times New Roman" w:hAnsi="Times New Roman"/>
      <w:sz w:val="24"/>
    </w:rPr>
  </w:style>
  <w:style w:styleId="Style_23" w:type="paragraph">
    <w:name w:val="List"/>
    <w:basedOn w:val="Style_3"/>
    <w:link w:val="Style_23_ch"/>
    <w:rPr>
      <w:rFonts w:ascii="PT Astra Serif" w:hAnsi="PT Astra Serif"/>
    </w:rPr>
  </w:style>
  <w:style w:styleId="Style_23_ch" w:type="character">
    <w:name w:val="List"/>
    <w:basedOn w:val="Style_3_ch"/>
    <w:link w:val="Style_23"/>
    <w:rPr>
      <w:rFonts w:ascii="PT Astra Serif" w:hAnsi="PT Astra Serif"/>
    </w:rPr>
  </w:style>
  <w:style w:styleId="Style_24" w:type="paragraph">
    <w:name w:val="Normal (Web)111111111"/>
    <w:basedOn w:val="Style_1"/>
    <w:link w:val="Style_2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Normal (Web)111111111"/>
    <w:basedOn w:val="Style_1_ch"/>
    <w:link w:val="Style_24"/>
    <w:rPr>
      <w:rFonts w:ascii="Times New Roman" w:hAnsi="Times New Roman"/>
      <w:sz w:val="24"/>
    </w:rPr>
  </w:style>
  <w:style w:styleId="Style_5" w:type="paragraph">
    <w:name w:val="Заголовок таблицы"/>
    <w:basedOn w:val="Style_6"/>
    <w:link w:val="Style_5_ch"/>
    <w:pPr>
      <w:widowControl w:val="1"/>
      <w:ind/>
      <w:jc w:val="center"/>
    </w:pPr>
    <w:rPr>
      <w:b w:val="1"/>
    </w:rPr>
  </w:style>
  <w:style w:styleId="Style_5_ch" w:type="character">
    <w:name w:val="Заголовок таблицы"/>
    <w:basedOn w:val="Style_6_ch"/>
    <w:link w:val="Style_5"/>
    <w:rPr>
      <w:b w:val="1"/>
    </w:rPr>
  </w:style>
  <w:style w:styleId="Style_25" w:type="paragraph">
    <w:name w:val="Нижний колонтитул Знак"/>
    <w:basedOn w:val="Style_8"/>
    <w:link w:val="Style_25_ch"/>
    <w:rPr>
      <w:rFonts w:ascii="Calibri" w:hAnsi="Calibri"/>
    </w:rPr>
  </w:style>
  <w:style w:styleId="Style_25_ch" w:type="character">
    <w:name w:val="Нижний колонтитул Знак"/>
    <w:basedOn w:val="Style_8_ch"/>
    <w:link w:val="Style_25"/>
    <w:rPr>
      <w:rFonts w:ascii="Calibri" w:hAnsi="Calibri"/>
    </w:rPr>
  </w:style>
  <w:style w:styleId="Style_26" w:type="paragraph">
    <w:name w:val="ConsPlusNormal"/>
    <w:link w:val="Style_26_ch"/>
    <w:pPr>
      <w:widowControl w:val="0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26_ch" w:type="character">
    <w:name w:val="ConsPlusNormal"/>
    <w:link w:val="Style_26"/>
    <w:rPr>
      <w:rFonts w:asciiTheme="minorAscii" w:hAnsiTheme="minorHAnsi"/>
      <w:color w:val="000000"/>
      <w:sz w:val="22"/>
    </w:rPr>
  </w:style>
  <w:style w:styleId="Style_27" w:type="paragraph">
    <w:name w:val="heading 5"/>
    <w:next w:val="Style_1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Колонтитул"/>
    <w:basedOn w:val="Style_1"/>
    <w:link w:val="Style_28_ch"/>
  </w:style>
  <w:style w:styleId="Style_28_ch" w:type="character">
    <w:name w:val="Колонтитул"/>
    <w:basedOn w:val="Style_1_ch"/>
    <w:link w:val="Style_28"/>
  </w:style>
  <w:style w:styleId="Style_29" w:type="paragraph">
    <w:name w:val="index heading"/>
    <w:basedOn w:val="Style_1"/>
    <w:link w:val="Style_29_ch"/>
    <w:rPr>
      <w:rFonts w:ascii="PT Astra Serif" w:hAnsi="PT Astra Serif"/>
    </w:rPr>
  </w:style>
  <w:style w:styleId="Style_29_ch" w:type="character">
    <w:name w:val="index heading"/>
    <w:basedOn w:val="Style_1_ch"/>
    <w:link w:val="Style_29"/>
    <w:rPr>
      <w:rFonts w:ascii="PT Astra Serif" w:hAnsi="PT Astra Serif"/>
    </w:rPr>
  </w:style>
  <w:style w:styleId="Style_30" w:type="paragraph">
    <w:name w:val="heading 1"/>
    <w:next w:val="Style_1"/>
    <w:link w:val="Style_3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0_ch" w:type="character">
    <w:name w:val="heading 1"/>
    <w:link w:val="Style_30"/>
    <w:rPr>
      <w:rFonts w:ascii="XO Thames" w:hAnsi="XO Thames"/>
      <w:b w:val="1"/>
      <w:sz w:val="32"/>
    </w:rPr>
  </w:style>
  <w:style w:styleId="Style_31" w:type="paragraph">
    <w:name w:val="Hyperlink"/>
    <w:basedOn w:val="Style_8"/>
    <w:link w:val="Style_31_ch"/>
    <w:rPr>
      <w:color w:val="0000FF"/>
      <w:u w:val="single"/>
    </w:rPr>
  </w:style>
  <w:style w:styleId="Style_31_ch" w:type="character">
    <w:name w:val="Hyperlink"/>
    <w:basedOn w:val="Style_8_ch"/>
    <w:link w:val="Style_31"/>
    <w:rPr>
      <w:color w:val="0000FF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annotation subject"/>
    <w:basedOn w:val="Style_34"/>
    <w:next w:val="Style_34"/>
    <w:link w:val="Style_33_ch"/>
    <w:rPr>
      <w:b w:val="1"/>
    </w:rPr>
  </w:style>
  <w:style w:styleId="Style_33_ch" w:type="character">
    <w:name w:val="annotation subject"/>
    <w:basedOn w:val="Style_34_ch"/>
    <w:link w:val="Style_33"/>
    <w:rPr>
      <w:b w:val="1"/>
    </w:rPr>
  </w:style>
  <w:style w:styleId="Style_35" w:type="paragraph">
    <w:name w:val="toc 1"/>
    <w:next w:val="Style_1"/>
    <w:link w:val="Style_3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Header and Footer"/>
    <w:link w:val="Style_36_ch"/>
    <w:pPr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toc 9"/>
    <w:next w:val="Style_1"/>
    <w:link w:val="Style_3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7_ch" w:type="character">
    <w:name w:val="toc 9"/>
    <w:link w:val="Style_37"/>
    <w:rPr>
      <w:rFonts w:ascii="XO Thames" w:hAnsi="XO Thames"/>
      <w:sz w:val="28"/>
    </w:rPr>
  </w:style>
  <w:style w:styleId="Style_38" w:type="paragraph">
    <w:name w:val="toc 8"/>
    <w:next w:val="Style_1"/>
    <w:link w:val="Style_3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toc 5"/>
    <w:next w:val="Style_1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Balloon Text"/>
    <w:basedOn w:val="Style_1"/>
    <w:link w:val="Style_40_ch"/>
    <w:pPr>
      <w:widowControl w:val="1"/>
      <w:spacing w:after="0" w:before="0" w:line="240" w:lineRule="auto"/>
      <w:ind/>
    </w:pPr>
    <w:rPr>
      <w:rFonts w:ascii="Segoe UI" w:hAnsi="Segoe UI"/>
      <w:sz w:val="18"/>
    </w:rPr>
  </w:style>
  <w:style w:styleId="Style_40_ch" w:type="character">
    <w:name w:val="Balloon Text"/>
    <w:basedOn w:val="Style_1_ch"/>
    <w:link w:val="Style_40"/>
    <w:rPr>
      <w:rFonts w:ascii="Segoe UI" w:hAnsi="Segoe UI"/>
      <w:sz w:val="18"/>
    </w:rPr>
  </w:style>
  <w:style w:styleId="Style_2" w:type="paragraph">
    <w:name w:val="Header"/>
    <w:basedOn w:val="Style_1"/>
    <w:link w:val="Style_2_ch"/>
    <w:pPr>
      <w:widowControl w:val="1"/>
      <w:tabs>
        <w:tab w:leader="none" w:pos="709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1_ch"/>
    <w:link w:val="Style_2"/>
  </w:style>
  <w:style w:styleId="Style_41" w:type="paragraph">
    <w:name w:val="Заголовок"/>
    <w:basedOn w:val="Style_1"/>
    <w:next w:val="Style_3"/>
    <w:link w:val="Style_4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1_ch" w:type="character">
    <w:name w:val="Заголовок"/>
    <w:basedOn w:val="Style_1_ch"/>
    <w:link w:val="Style_41"/>
    <w:rPr>
      <w:rFonts w:ascii="PT Astra Serif" w:hAnsi="PT Astra Serif"/>
      <w:sz w:val="28"/>
    </w:rPr>
  </w:style>
  <w:style w:styleId="Style_42" w:type="paragraph">
    <w:name w:val="Верхний колонтитул Знак"/>
    <w:basedOn w:val="Style_8"/>
    <w:link w:val="Style_42_ch"/>
    <w:rPr>
      <w:rFonts w:ascii="Calibri" w:hAnsi="Calibri"/>
    </w:rPr>
  </w:style>
  <w:style w:styleId="Style_42_ch" w:type="character">
    <w:name w:val="Верхний колонтитул Знак"/>
    <w:basedOn w:val="Style_8_ch"/>
    <w:link w:val="Style_42"/>
    <w:rPr>
      <w:rFonts w:ascii="Calibri" w:hAnsi="Calibri"/>
    </w:rPr>
  </w:style>
  <w:style w:styleId="Style_43" w:type="paragraph">
    <w:name w:val="Footer"/>
    <w:basedOn w:val="Style_1"/>
    <w:link w:val="Style_43_ch"/>
    <w:pPr>
      <w:widowControl w:val="1"/>
      <w:tabs>
        <w:tab w:leader="none" w:pos="709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43_ch" w:type="character">
    <w:name w:val="Footer"/>
    <w:basedOn w:val="Style_1_ch"/>
    <w:link w:val="Style_43"/>
  </w:style>
  <w:style w:styleId="Style_44" w:type="paragraph">
    <w:name w:val="Subtitle"/>
    <w:next w:val="Style_1"/>
    <w:link w:val="Style_4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6" w:type="paragraph">
    <w:name w:val="Содержимое таблицы"/>
    <w:basedOn w:val="Style_1"/>
    <w:link w:val="Style_6_ch"/>
  </w:style>
  <w:style w:styleId="Style_6_ch" w:type="character">
    <w:name w:val="Содержимое таблицы"/>
    <w:basedOn w:val="Style_1_ch"/>
    <w:link w:val="Style_6"/>
  </w:style>
  <w:style w:styleId="Style_45" w:type="paragraph">
    <w:name w:val="Title"/>
    <w:next w:val="Style_1"/>
    <w:link w:val="Style_4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next w:val="Style_1"/>
    <w:link w:val="Style_4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6_ch" w:type="character">
    <w:name w:val="heading 4"/>
    <w:link w:val="Style_46"/>
    <w:rPr>
      <w:rFonts w:ascii="XO Thames" w:hAnsi="XO Thames"/>
      <w:b w:val="1"/>
      <w:sz w:val="24"/>
    </w:rPr>
  </w:style>
  <w:style w:styleId="Style_34" w:type="paragraph">
    <w:name w:val="annotation text"/>
    <w:basedOn w:val="Style_1"/>
    <w:link w:val="Style_34_ch"/>
    <w:pPr>
      <w:widowControl w:val="1"/>
      <w:spacing w:line="240" w:lineRule="auto"/>
      <w:ind/>
    </w:pPr>
    <w:rPr>
      <w:sz w:val="20"/>
    </w:rPr>
  </w:style>
  <w:style w:styleId="Style_34_ch" w:type="character">
    <w:name w:val="annotation text"/>
    <w:basedOn w:val="Style_1_ch"/>
    <w:link w:val="Style_34"/>
    <w:rPr>
      <w:sz w:val="20"/>
    </w:rPr>
  </w:style>
  <w:style w:styleId="Style_47" w:type="paragraph">
    <w:name w:val="heading 2"/>
    <w:next w:val="Style_1"/>
    <w:link w:val="Style_4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7_ch" w:type="character">
    <w:name w:val="heading 2"/>
    <w:link w:val="Style_47"/>
    <w:rPr>
      <w:rFonts w:ascii="XO Thames" w:hAnsi="XO Thames"/>
      <w:b w:val="1"/>
      <w:sz w:val="28"/>
    </w:r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2025-12-29T09:06:22Z</dcterms:created>
  <dcterms:modified xsi:type="dcterms:W3CDTF">2025-12-29T09:06:22Z</dcterms:modified>
</cp:coreProperties>
</file>